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ADEB6" w14:textId="1E33895F" w:rsidR="004D5F56" w:rsidRDefault="004D5F56" w:rsidP="008B7034"/>
    <w:p w14:paraId="4F03CC5B" w14:textId="3CE992A2" w:rsidR="00356070" w:rsidRPr="00622E32" w:rsidRDefault="00356070" w:rsidP="00622E32">
      <w:pPr>
        <w:pStyle w:val="Title"/>
        <w:jc w:val="center"/>
        <w:rPr>
          <w:b/>
          <w:bCs/>
        </w:rPr>
      </w:pPr>
      <w:bookmarkStart w:id="0" w:name="_Hlk173513889"/>
      <w:r w:rsidRPr="00622E32">
        <w:rPr>
          <w:b/>
          <w:bCs/>
          <w:color w:val="005EB8" w:themeColor="text2"/>
        </w:rPr>
        <w:t>Outcome</w:t>
      </w:r>
      <w:r w:rsidRPr="00622E32">
        <w:rPr>
          <w:b/>
          <w:bCs/>
        </w:rPr>
        <w:t xml:space="preserve"> </w:t>
      </w:r>
      <w:r w:rsidRPr="00622E32">
        <w:rPr>
          <w:b/>
          <w:bCs/>
          <w:color w:val="005EB8" w:themeColor="text2"/>
        </w:rPr>
        <w:t>report</w:t>
      </w:r>
    </w:p>
    <w:p w14:paraId="5FC3AE07" w14:textId="77777777" w:rsidR="00356070" w:rsidRPr="007B727F" w:rsidRDefault="00356070" w:rsidP="00356070">
      <w:pPr>
        <w:pStyle w:val="NoSpacing"/>
      </w:pPr>
    </w:p>
    <w:p w14:paraId="70F81CC1" w14:textId="677B2BAC" w:rsidR="00356070" w:rsidRPr="00190B2C" w:rsidRDefault="00356070" w:rsidP="00356070">
      <w:pPr>
        <w:pStyle w:val="ListParagraph"/>
        <w:numPr>
          <w:ilvl w:val="0"/>
          <w:numId w:val="32"/>
        </w:numPr>
        <w:pBdr>
          <w:top w:val="single" w:sz="4" w:space="1" w:color="auto"/>
          <w:left w:val="single" w:sz="4" w:space="18" w:color="auto"/>
          <w:bottom w:val="single" w:sz="4" w:space="1" w:color="auto"/>
          <w:right w:val="single" w:sz="4" w:space="4" w:color="auto"/>
        </w:pBdr>
        <w:spacing w:before="0" w:after="160" w:line="259" w:lineRule="auto"/>
        <w:rPr>
          <w:b/>
          <w:bCs/>
        </w:rPr>
      </w:pPr>
      <w:r>
        <w:rPr>
          <w:b/>
          <w:bCs/>
        </w:rPr>
        <w:t>Bank</w:t>
      </w:r>
      <w:r w:rsidRPr="00190B2C">
        <w:rPr>
          <w:b/>
          <w:bCs/>
        </w:rPr>
        <w:t xml:space="preserve">s should share the outcome report with the IRT via IRIS no later than one month after the conclusion of the test, </w:t>
      </w:r>
      <w:r w:rsidR="00E42F54">
        <w:rPr>
          <w:b/>
          <w:bCs/>
        </w:rPr>
        <w:t>unless otherwise agree</w:t>
      </w:r>
      <w:r w:rsidR="00297133">
        <w:rPr>
          <w:b/>
          <w:bCs/>
        </w:rPr>
        <w:t>d</w:t>
      </w:r>
      <w:r w:rsidR="00E42F54">
        <w:rPr>
          <w:b/>
          <w:bCs/>
        </w:rPr>
        <w:t xml:space="preserve"> with the IRT, </w:t>
      </w:r>
      <w:r w:rsidRPr="00190B2C">
        <w:rPr>
          <w:b/>
          <w:bCs/>
        </w:rPr>
        <w:t>as a .docx file.</w:t>
      </w:r>
    </w:p>
    <w:p w14:paraId="79740CA0" w14:textId="72AB1612" w:rsidR="00356070" w:rsidRPr="00190B2C" w:rsidRDefault="00356070" w:rsidP="00356070">
      <w:pPr>
        <w:pStyle w:val="ListParagraph"/>
        <w:numPr>
          <w:ilvl w:val="0"/>
          <w:numId w:val="32"/>
        </w:numPr>
        <w:pBdr>
          <w:top w:val="single" w:sz="4" w:space="1" w:color="auto"/>
          <w:left w:val="single" w:sz="4" w:space="18" w:color="auto"/>
          <w:bottom w:val="single" w:sz="4" w:space="1" w:color="auto"/>
          <w:right w:val="single" w:sz="4" w:space="4" w:color="auto"/>
        </w:pBdr>
        <w:spacing w:before="0" w:after="160" w:line="259" w:lineRule="auto"/>
        <w:rPr>
          <w:b/>
          <w:bCs/>
        </w:rPr>
      </w:pPr>
      <w:r>
        <w:rPr>
          <w:b/>
          <w:bCs/>
        </w:rPr>
        <w:t>Bank</w:t>
      </w:r>
      <w:r w:rsidRPr="00190B2C">
        <w:rPr>
          <w:b/>
          <w:bCs/>
        </w:rPr>
        <w:t xml:space="preserve">s should share all </w:t>
      </w:r>
      <w:r w:rsidR="00036AD9">
        <w:rPr>
          <w:b/>
          <w:bCs/>
        </w:rPr>
        <w:t xml:space="preserve">relevant </w:t>
      </w:r>
      <w:r w:rsidRPr="00190B2C">
        <w:rPr>
          <w:b/>
          <w:bCs/>
        </w:rPr>
        <w:t xml:space="preserve">material prepared for and </w:t>
      </w:r>
      <w:r w:rsidR="00036AD9">
        <w:rPr>
          <w:b/>
          <w:bCs/>
        </w:rPr>
        <w:t xml:space="preserve">used </w:t>
      </w:r>
      <w:r w:rsidRPr="00190B2C">
        <w:rPr>
          <w:b/>
          <w:bCs/>
        </w:rPr>
        <w:t xml:space="preserve">during the testing exercise with IRTs </w:t>
      </w:r>
      <w:r w:rsidR="00AA3B3C" w:rsidRPr="00190B2C">
        <w:rPr>
          <w:b/>
          <w:bCs/>
        </w:rPr>
        <w:t xml:space="preserve">either </w:t>
      </w:r>
      <w:r w:rsidRPr="00190B2C">
        <w:rPr>
          <w:b/>
          <w:bCs/>
        </w:rPr>
        <w:t>as embedded files or as annexes to the outcome report.</w:t>
      </w:r>
    </w:p>
    <w:p w14:paraId="74154158" w14:textId="77777777" w:rsidR="00356070" w:rsidRPr="000B594E" w:rsidRDefault="00356070" w:rsidP="00297133">
      <w:pPr>
        <w:pStyle w:val="Heading1"/>
        <w:keepNext/>
      </w:pPr>
      <w:r>
        <w:t>Bank</w:t>
      </w:r>
    </w:p>
    <w:p w14:paraId="6E78CA79" w14:textId="77777777" w:rsidR="00356070" w:rsidRDefault="00356070" w:rsidP="00356070">
      <w:bookmarkStart w:id="1" w:name="_Toc156828259"/>
      <w:r w:rsidRPr="007B727F">
        <w:t>[Group name</w:t>
      </w:r>
      <w:r>
        <w:t>]</w:t>
      </w:r>
    </w:p>
    <w:p w14:paraId="2AFC6763" w14:textId="77777777" w:rsidR="00356070" w:rsidRDefault="00356070" w:rsidP="00356070">
      <w:r w:rsidRPr="00217DCB">
        <w:t>[G-SII/O-SII/top ti</w:t>
      </w:r>
      <w:r w:rsidRPr="004E0DD1">
        <w:t xml:space="preserve">er </w:t>
      </w:r>
      <w:r>
        <w:t>bank/bank]</w:t>
      </w:r>
    </w:p>
    <w:p w14:paraId="30171C4E" w14:textId="77777777" w:rsidR="00356070" w:rsidRDefault="00356070" w:rsidP="00356070">
      <w:r>
        <w:t>[SPE/MPE strategy]</w:t>
      </w:r>
    </w:p>
    <w:p w14:paraId="01A59FED" w14:textId="74D49CF8" w:rsidR="00356070" w:rsidRDefault="00356070" w:rsidP="00356070">
      <w:r>
        <w:t>[</w:t>
      </w:r>
      <w:r w:rsidRPr="007B727F">
        <w:t>PoE for MPE BU resolution group</w:t>
      </w:r>
      <w:r>
        <w:t>, if applicable</w:t>
      </w:r>
      <w:r w:rsidRPr="007B727F">
        <w:t>]</w:t>
      </w:r>
    </w:p>
    <w:p w14:paraId="1B96BC39" w14:textId="77777777" w:rsidR="00936390" w:rsidRDefault="00936390" w:rsidP="00356070"/>
    <w:p w14:paraId="49F4F46E" w14:textId="77777777" w:rsidR="00356070" w:rsidRPr="000B594E" w:rsidRDefault="00356070" w:rsidP="00297133">
      <w:pPr>
        <w:pStyle w:val="Heading1"/>
        <w:keepNext/>
      </w:pPr>
      <w:bookmarkStart w:id="2" w:name="_Toc175902956"/>
      <w:bookmarkStart w:id="3" w:name="_Toc176966736"/>
      <w:bookmarkStart w:id="4" w:name="_Toc188472264"/>
      <w:bookmarkEnd w:id="2"/>
      <w:r w:rsidRPr="001A239C">
        <w:t>Test ID</w:t>
      </w:r>
      <w:bookmarkEnd w:id="1"/>
      <w:bookmarkEnd w:id="3"/>
      <w:bookmarkEnd w:id="4"/>
    </w:p>
    <w:p w14:paraId="5551F5AE" w14:textId="18C32E4F" w:rsidR="00356070" w:rsidRDefault="00356070" w:rsidP="00356070">
      <w:r w:rsidRPr="007B727F">
        <w:t>Test […]</w:t>
      </w:r>
      <w:proofErr w:type="gramStart"/>
      <w:r w:rsidRPr="007B727F">
        <w:t>/[</w:t>
      </w:r>
      <w:proofErr w:type="gramEnd"/>
      <w:r w:rsidRPr="007B727F">
        <w:t>year […]</w:t>
      </w:r>
    </w:p>
    <w:p w14:paraId="12D44280" w14:textId="77777777" w:rsidR="00036AD9" w:rsidRPr="007B727F" w:rsidRDefault="00036AD9" w:rsidP="00356070"/>
    <w:p w14:paraId="444AF1B9" w14:textId="77777777" w:rsidR="00356070" w:rsidRPr="000B594E" w:rsidRDefault="00356070" w:rsidP="00297133">
      <w:pPr>
        <w:pStyle w:val="Heading1"/>
        <w:keepNext/>
      </w:pPr>
      <w:bookmarkStart w:id="5" w:name="_Toc188472265"/>
      <w:r w:rsidRPr="001A239C">
        <w:t>Basic outline of the test</w:t>
      </w:r>
      <w:bookmarkEnd w:id="5"/>
    </w:p>
    <w:tbl>
      <w:tblPr>
        <w:tblStyle w:val="ListTable2-Accent5"/>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0490"/>
      </w:tblGrid>
      <w:tr w:rsidR="00356070" w:rsidRPr="007B727F" w14:paraId="27F063CB" w14:textId="77777777" w:rsidTr="002971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A281410" w14:textId="77777777" w:rsidR="00356070" w:rsidRPr="007B727F" w:rsidRDefault="00356070" w:rsidP="00E472A8">
            <w:pPr>
              <w:rPr>
                <w:bCs w:val="0"/>
              </w:rPr>
            </w:pPr>
            <w:r w:rsidRPr="007B727F">
              <w:t>Set-up:</w:t>
            </w:r>
          </w:p>
        </w:tc>
        <w:tc>
          <w:tcPr>
            <w:tcW w:w="10490" w:type="dxa"/>
          </w:tcPr>
          <w:p w14:paraId="3E9652B9" w14:textId="77777777" w:rsidR="00356070" w:rsidRPr="000B594E" w:rsidRDefault="00356070" w:rsidP="00E472A8">
            <w:pPr>
              <w:cnfStyle w:val="100000000000" w:firstRow="1" w:lastRow="0" w:firstColumn="0" w:lastColumn="0" w:oddVBand="0" w:evenVBand="0" w:oddHBand="0" w:evenHBand="0" w:firstRowFirstColumn="0" w:firstRowLastColumn="0" w:lastRowFirstColumn="0" w:lastRowLastColumn="0"/>
            </w:pPr>
            <w:r w:rsidRPr="6058A18D">
              <w:rPr>
                <w:b w:val="0"/>
                <w:bCs w:val="0"/>
                <w:i/>
                <w:iCs/>
              </w:rPr>
              <w:t>[Remote (application used)/Hybrid (application used)/Physical]</w:t>
            </w:r>
          </w:p>
        </w:tc>
      </w:tr>
      <w:tr w:rsidR="00356070" w:rsidRPr="007B727F" w14:paraId="50489F15" w14:textId="77777777" w:rsidTr="00622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BDDEFF" w:themeFill="text2" w:themeFillTint="33"/>
          </w:tcPr>
          <w:p w14:paraId="4C311B64" w14:textId="77777777" w:rsidR="00356070" w:rsidRPr="007B727F" w:rsidRDefault="00356070" w:rsidP="00E472A8">
            <w:r w:rsidRPr="00577E12">
              <w:t xml:space="preserve">Testing </w:t>
            </w:r>
            <w:r w:rsidRPr="00622E32">
              <w:rPr>
                <w:szCs w:val="20"/>
              </w:rPr>
              <w:t>method</w:t>
            </w:r>
            <w:r w:rsidRPr="6058A18D">
              <w:rPr>
                <w:sz w:val="22"/>
              </w:rPr>
              <w:t>:</w:t>
            </w:r>
            <w:r w:rsidRPr="6058A18D">
              <w:rPr>
                <w:rFonts w:asciiTheme="majorHAnsi" w:hAnsiTheme="majorHAnsi"/>
                <w:color w:val="2B69BF" w:themeColor="accent1" w:themeShade="BF"/>
                <w:sz w:val="32"/>
              </w:rPr>
              <w:t xml:space="preserve"> </w:t>
            </w:r>
          </w:p>
        </w:tc>
        <w:tc>
          <w:tcPr>
            <w:tcW w:w="10490" w:type="dxa"/>
            <w:shd w:val="clear" w:color="auto" w:fill="BDDEFF" w:themeFill="text2" w:themeFillTint="33"/>
          </w:tcPr>
          <w:p w14:paraId="12F4B175" w14:textId="294BC106" w:rsidR="00356070" w:rsidRPr="00236A6A" w:rsidRDefault="00356070" w:rsidP="00E472A8">
            <w:pPr>
              <w:cnfStyle w:val="000000100000" w:firstRow="0" w:lastRow="0" w:firstColumn="0" w:lastColumn="0" w:oddVBand="0" w:evenVBand="0" w:oddHBand="1" w:evenHBand="0" w:firstRowFirstColumn="0" w:firstRowLastColumn="0" w:lastRowFirstColumn="0" w:lastRowLastColumn="0"/>
              <w:rPr>
                <w:i/>
              </w:rPr>
            </w:pPr>
            <w:r w:rsidRPr="6058A18D">
              <w:rPr>
                <w:i/>
                <w:iCs/>
              </w:rPr>
              <w:t>[</w:t>
            </w:r>
            <w:r>
              <w:rPr>
                <w:i/>
                <w:iCs/>
              </w:rPr>
              <w:t>Banks</w:t>
            </w:r>
            <w:r w:rsidRPr="6058A18D">
              <w:rPr>
                <w:i/>
                <w:iCs/>
              </w:rPr>
              <w:t xml:space="preserve"> should </w:t>
            </w:r>
            <w:r w:rsidR="00036AD9">
              <w:rPr>
                <w:i/>
                <w:iCs/>
              </w:rPr>
              <w:t>state</w:t>
            </w:r>
            <w:r w:rsidR="00036AD9" w:rsidRPr="6058A18D">
              <w:rPr>
                <w:i/>
                <w:iCs/>
              </w:rPr>
              <w:t xml:space="preserve"> </w:t>
            </w:r>
            <w:r w:rsidRPr="6058A18D">
              <w:rPr>
                <w:i/>
                <w:iCs/>
              </w:rPr>
              <w:t xml:space="preserve">the </w:t>
            </w:r>
            <w:r>
              <w:rPr>
                <w:i/>
                <w:iCs/>
              </w:rPr>
              <w:t>test method</w:t>
            </w:r>
            <w:r w:rsidRPr="6058A18D">
              <w:rPr>
                <w:i/>
                <w:iCs/>
              </w:rPr>
              <w:t xml:space="preserve"> used during the test</w:t>
            </w:r>
            <w:r w:rsidR="00036AD9">
              <w:rPr>
                <w:i/>
                <w:iCs/>
              </w:rPr>
              <w:t xml:space="preserve"> following the </w:t>
            </w:r>
            <w:r w:rsidR="008A5D7A">
              <w:rPr>
                <w:i/>
                <w:iCs/>
              </w:rPr>
              <w:t xml:space="preserve">multi-annual testing programme and </w:t>
            </w:r>
            <w:r w:rsidR="00144B5E">
              <w:rPr>
                <w:i/>
                <w:iCs/>
              </w:rPr>
              <w:t xml:space="preserve">agreed </w:t>
            </w:r>
            <w:r w:rsidR="008A5D7A">
              <w:rPr>
                <w:i/>
                <w:iCs/>
              </w:rPr>
              <w:t>internal resolvability testing plan</w:t>
            </w:r>
            <w:r w:rsidR="00E46F02">
              <w:rPr>
                <w:i/>
                <w:iCs/>
              </w:rPr>
              <w:t>.</w:t>
            </w:r>
            <w:r w:rsidRPr="6058A18D">
              <w:rPr>
                <w:i/>
                <w:iCs/>
              </w:rPr>
              <w:t>]</w:t>
            </w:r>
          </w:p>
        </w:tc>
      </w:tr>
      <w:tr w:rsidR="00356070" w:rsidRPr="007B727F" w14:paraId="0A6D6C52" w14:textId="77777777" w:rsidTr="00297133">
        <w:tc>
          <w:tcPr>
            <w:cnfStyle w:val="001000000000" w:firstRow="0" w:lastRow="0" w:firstColumn="1" w:lastColumn="0" w:oddVBand="0" w:evenVBand="0" w:oddHBand="0" w:evenHBand="0" w:firstRowFirstColumn="0" w:firstRowLastColumn="0" w:lastRowFirstColumn="0" w:lastRowLastColumn="0"/>
            <w:tcW w:w="3397" w:type="dxa"/>
          </w:tcPr>
          <w:p w14:paraId="0D0BD0B5" w14:textId="77777777" w:rsidR="00356070" w:rsidRPr="00577E12" w:rsidRDefault="00356070" w:rsidP="00E472A8">
            <w:pPr>
              <w:rPr>
                <w:bCs w:val="0"/>
              </w:rPr>
            </w:pPr>
            <w:r w:rsidRPr="007B727F">
              <w:lastRenderedPageBreak/>
              <w:t>Testing area(s)</w:t>
            </w:r>
            <w:r>
              <w:t xml:space="preserve"> and subarea(s):</w:t>
            </w:r>
          </w:p>
        </w:tc>
        <w:tc>
          <w:tcPr>
            <w:tcW w:w="10490" w:type="dxa"/>
          </w:tcPr>
          <w:p w14:paraId="19526EB2" w14:textId="287AB324" w:rsidR="00356070" w:rsidRPr="000B594E" w:rsidRDefault="00356070" w:rsidP="00E472A8">
            <w:pPr>
              <w:cnfStyle w:val="000000000000" w:firstRow="0" w:lastRow="0" w:firstColumn="0" w:lastColumn="0" w:oddVBand="0" w:evenVBand="0" w:oddHBand="0" w:evenHBand="0" w:firstRowFirstColumn="0" w:firstRowLastColumn="0" w:lastRowFirstColumn="0" w:lastRowLastColumn="0"/>
            </w:pPr>
            <w:r w:rsidRPr="6058A18D">
              <w:rPr>
                <w:i/>
                <w:iCs/>
              </w:rPr>
              <w:t>[</w:t>
            </w:r>
            <w:r>
              <w:rPr>
                <w:i/>
                <w:iCs/>
              </w:rPr>
              <w:t>Banks</w:t>
            </w:r>
            <w:r w:rsidRPr="6058A18D">
              <w:rPr>
                <w:i/>
                <w:iCs/>
              </w:rPr>
              <w:t xml:space="preserve"> should identify the testing areas and subareas</w:t>
            </w:r>
            <w:r w:rsidR="008A5D7A">
              <w:rPr>
                <w:i/>
                <w:iCs/>
              </w:rPr>
              <w:t xml:space="preserve"> as well as corresponding </w:t>
            </w:r>
            <w:r w:rsidR="00E46F02">
              <w:rPr>
                <w:i/>
                <w:iCs/>
              </w:rPr>
              <w:t>p</w:t>
            </w:r>
            <w:r w:rsidR="008A5D7A">
              <w:rPr>
                <w:i/>
                <w:iCs/>
              </w:rPr>
              <w:t>rinciples and capabilities</w:t>
            </w:r>
            <w:r w:rsidR="00036AD9">
              <w:rPr>
                <w:i/>
                <w:iCs/>
              </w:rPr>
              <w:t xml:space="preserve"> following the </w:t>
            </w:r>
            <w:r w:rsidR="008A5D7A">
              <w:rPr>
                <w:i/>
                <w:iCs/>
              </w:rPr>
              <w:t>multi-annual testing programme and</w:t>
            </w:r>
            <w:r w:rsidR="00144B5E">
              <w:rPr>
                <w:i/>
                <w:iCs/>
              </w:rPr>
              <w:t xml:space="preserve"> agreed</w:t>
            </w:r>
            <w:r w:rsidR="00036AD9">
              <w:rPr>
                <w:i/>
                <w:iCs/>
              </w:rPr>
              <w:t xml:space="preserve"> </w:t>
            </w:r>
            <w:r w:rsidR="008A5D7A">
              <w:rPr>
                <w:i/>
                <w:iCs/>
              </w:rPr>
              <w:t>internal resolvability testing plan</w:t>
            </w:r>
            <w:r w:rsidR="00E46F02">
              <w:rPr>
                <w:i/>
                <w:iCs/>
              </w:rPr>
              <w:t>.</w:t>
            </w:r>
            <w:r w:rsidRPr="6058A18D">
              <w:rPr>
                <w:i/>
                <w:iCs/>
              </w:rPr>
              <w:t>]</w:t>
            </w:r>
          </w:p>
        </w:tc>
      </w:tr>
      <w:tr w:rsidR="00356070" w:rsidRPr="007B727F" w14:paraId="7584C652" w14:textId="77777777" w:rsidTr="00622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BDDEFF" w:themeFill="text2" w:themeFillTint="33"/>
          </w:tcPr>
          <w:p w14:paraId="22E14E79" w14:textId="231F6E94" w:rsidR="00356070" w:rsidRPr="007B727F" w:rsidRDefault="00356070" w:rsidP="00E472A8">
            <w:r w:rsidRPr="007B727F">
              <w:t>Entities (identifie</w:t>
            </w:r>
            <w:r w:rsidRPr="00BF5227">
              <w:t xml:space="preserve">r) and </w:t>
            </w:r>
            <w:r w:rsidRPr="00190B2C">
              <w:t>scope</w:t>
            </w:r>
            <w:r w:rsidRPr="6058A18D">
              <w:t xml:space="preserve"> </w:t>
            </w:r>
            <w:r w:rsidRPr="007B727F">
              <w:t>of the test for each entity:</w:t>
            </w:r>
          </w:p>
        </w:tc>
        <w:tc>
          <w:tcPr>
            <w:tcW w:w="10490" w:type="dxa"/>
            <w:shd w:val="clear" w:color="auto" w:fill="BDDEFF" w:themeFill="text2" w:themeFillTint="33"/>
          </w:tcPr>
          <w:p w14:paraId="388C32C7" w14:textId="063736A3" w:rsidR="00356070" w:rsidRPr="000B594E" w:rsidRDefault="00356070" w:rsidP="00E472A8">
            <w:pPr>
              <w:cnfStyle w:val="000000100000" w:firstRow="0" w:lastRow="0" w:firstColumn="0" w:lastColumn="0" w:oddVBand="0" w:evenVBand="0" w:oddHBand="1" w:evenHBand="0" w:firstRowFirstColumn="0" w:firstRowLastColumn="0" w:lastRowFirstColumn="0" w:lastRowLastColumn="0"/>
            </w:pPr>
            <w:r w:rsidRPr="001A239C">
              <w:rPr>
                <w:i/>
                <w:iCs/>
              </w:rPr>
              <w:t>[</w:t>
            </w:r>
            <w:r>
              <w:rPr>
                <w:i/>
                <w:iCs/>
              </w:rPr>
              <w:t>Banks</w:t>
            </w:r>
            <w:r w:rsidRPr="001A239C">
              <w:rPr>
                <w:i/>
                <w:iCs/>
              </w:rPr>
              <w:t xml:space="preserve"> should outline the name of each entity, its LEI code and the scope of the test for each entity</w:t>
            </w:r>
            <w:r w:rsidR="00E46F02">
              <w:rPr>
                <w:i/>
                <w:iCs/>
              </w:rPr>
              <w:t>.</w:t>
            </w:r>
            <w:r w:rsidRPr="001A239C">
              <w:rPr>
                <w:i/>
                <w:iCs/>
              </w:rPr>
              <w:t xml:space="preserve">] </w:t>
            </w:r>
          </w:p>
        </w:tc>
      </w:tr>
      <w:tr w:rsidR="00356070" w:rsidRPr="007B727F" w14:paraId="4732BF5A" w14:textId="77777777" w:rsidTr="00297133">
        <w:tc>
          <w:tcPr>
            <w:cnfStyle w:val="001000000000" w:firstRow="0" w:lastRow="0" w:firstColumn="1" w:lastColumn="0" w:oddVBand="0" w:evenVBand="0" w:oddHBand="0" w:evenHBand="0" w:firstRowFirstColumn="0" w:firstRowLastColumn="0" w:lastRowFirstColumn="0" w:lastRowLastColumn="0"/>
            <w:tcW w:w="3397" w:type="dxa"/>
          </w:tcPr>
          <w:p w14:paraId="01B92351" w14:textId="7101670A" w:rsidR="00356070" w:rsidRPr="007B727F" w:rsidRDefault="00785C00" w:rsidP="00E472A8">
            <w:r>
              <w:t>O</w:t>
            </w:r>
            <w:r w:rsidR="00E7403C">
              <w:t>bservations</w:t>
            </w:r>
            <w:r>
              <w:t xml:space="preserve"> </w:t>
            </w:r>
            <w:r w:rsidR="00356070" w:rsidRPr="007B727F">
              <w:t xml:space="preserve">from prior testing that </w:t>
            </w:r>
            <w:r w:rsidR="00640529">
              <w:t>requir</w:t>
            </w:r>
            <w:r>
              <w:t>ed</w:t>
            </w:r>
            <w:r w:rsidR="00640529">
              <w:t xml:space="preserve"> actions</w:t>
            </w:r>
            <w:r w:rsidR="00356070" w:rsidRPr="007B727F">
              <w:t>:</w:t>
            </w:r>
          </w:p>
        </w:tc>
        <w:tc>
          <w:tcPr>
            <w:tcW w:w="10490" w:type="dxa"/>
          </w:tcPr>
          <w:p w14:paraId="368C80B7" w14:textId="6EAB55D6" w:rsidR="00356070" w:rsidRPr="000B594E" w:rsidRDefault="00356070" w:rsidP="00E472A8">
            <w:pPr>
              <w:cnfStyle w:val="000000000000" w:firstRow="0" w:lastRow="0" w:firstColumn="0" w:lastColumn="0" w:oddVBand="0" w:evenVBand="0" w:oddHBand="0" w:evenHBand="0" w:firstRowFirstColumn="0" w:firstRowLastColumn="0" w:lastRowFirstColumn="0" w:lastRowLastColumn="0"/>
            </w:pPr>
            <w:r w:rsidRPr="001A239C">
              <w:rPr>
                <w:i/>
                <w:iCs/>
              </w:rPr>
              <w:t>[</w:t>
            </w:r>
            <w:r>
              <w:rPr>
                <w:i/>
                <w:iCs/>
              </w:rPr>
              <w:t>Banks</w:t>
            </w:r>
            <w:r w:rsidRPr="001A239C">
              <w:rPr>
                <w:i/>
                <w:iCs/>
              </w:rPr>
              <w:t xml:space="preserve"> should outline </w:t>
            </w:r>
            <w:r w:rsidR="00E7403C">
              <w:rPr>
                <w:i/>
                <w:iCs/>
              </w:rPr>
              <w:t>observations</w:t>
            </w:r>
            <w:r w:rsidR="00E7403C" w:rsidRPr="001A239C">
              <w:rPr>
                <w:i/>
                <w:iCs/>
              </w:rPr>
              <w:t xml:space="preserve"> </w:t>
            </w:r>
            <w:r w:rsidRPr="001A239C">
              <w:rPr>
                <w:i/>
                <w:iCs/>
              </w:rPr>
              <w:t>from prior tests that were taken into account and reassessed during this test</w:t>
            </w:r>
            <w:r w:rsidR="00E46F02">
              <w:rPr>
                <w:i/>
                <w:iCs/>
              </w:rPr>
              <w:t>.</w:t>
            </w:r>
            <w:r w:rsidRPr="001A239C">
              <w:rPr>
                <w:i/>
                <w:iCs/>
              </w:rPr>
              <w:t>]</w:t>
            </w:r>
          </w:p>
        </w:tc>
      </w:tr>
      <w:tr w:rsidR="00356070" w:rsidRPr="007B727F" w14:paraId="3E6904C8" w14:textId="77777777" w:rsidTr="00622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BDDEFF" w:themeFill="text2" w:themeFillTint="33"/>
          </w:tcPr>
          <w:p w14:paraId="00E3CC7F" w14:textId="77777777" w:rsidR="00356070" w:rsidRPr="007B727F" w:rsidRDefault="00356070" w:rsidP="00E472A8">
            <w:r>
              <w:t>Reference document(s):</w:t>
            </w:r>
          </w:p>
        </w:tc>
        <w:tc>
          <w:tcPr>
            <w:tcW w:w="10490" w:type="dxa"/>
            <w:shd w:val="clear" w:color="auto" w:fill="BDDEFF" w:themeFill="text2" w:themeFillTint="33"/>
          </w:tcPr>
          <w:p w14:paraId="3E28CDB9" w14:textId="78E139B5" w:rsidR="00356070" w:rsidRPr="00236A6A" w:rsidRDefault="00356070" w:rsidP="00E472A8">
            <w:pPr>
              <w:cnfStyle w:val="000000100000" w:firstRow="0" w:lastRow="0" w:firstColumn="0" w:lastColumn="0" w:oddVBand="0" w:evenVBand="0" w:oddHBand="1" w:evenHBand="0" w:firstRowFirstColumn="0" w:firstRowLastColumn="0" w:lastRowFirstColumn="0" w:lastRowLastColumn="0"/>
              <w:rPr>
                <w:i/>
              </w:rPr>
            </w:pPr>
            <w:r w:rsidRPr="6058A18D">
              <w:rPr>
                <w:i/>
                <w:iCs/>
              </w:rPr>
              <w:t>[</w:t>
            </w:r>
            <w:r>
              <w:rPr>
                <w:i/>
                <w:iCs/>
              </w:rPr>
              <w:t>Banks</w:t>
            </w:r>
            <w:r w:rsidRPr="6058A18D">
              <w:rPr>
                <w:i/>
                <w:iCs/>
              </w:rPr>
              <w:t xml:space="preserve"> should identify the reference document(s) used during the test, including all relevant playbooks and other documents outlining the processes to be tested, with a reference to the version used – i.e.</w:t>
            </w:r>
            <w:r w:rsidR="00E46F02">
              <w:rPr>
                <w:i/>
                <w:iCs/>
              </w:rPr>
              <w:t>,</w:t>
            </w:r>
            <w:r w:rsidRPr="6058A18D">
              <w:rPr>
                <w:i/>
                <w:iCs/>
              </w:rPr>
              <w:t xml:space="preserve"> Playbook X, version [month/year]</w:t>
            </w:r>
            <w:r w:rsidR="00E46F02">
              <w:rPr>
                <w:i/>
                <w:iCs/>
              </w:rPr>
              <w:t>.</w:t>
            </w:r>
            <w:r w:rsidRPr="6058A18D">
              <w:rPr>
                <w:i/>
                <w:iCs/>
              </w:rPr>
              <w:t>]</w:t>
            </w:r>
          </w:p>
        </w:tc>
      </w:tr>
      <w:tr w:rsidR="00356070" w:rsidRPr="007B727F" w14:paraId="45B2BD70" w14:textId="77777777" w:rsidTr="00297133">
        <w:tc>
          <w:tcPr>
            <w:cnfStyle w:val="001000000000" w:firstRow="0" w:lastRow="0" w:firstColumn="1" w:lastColumn="0" w:oddVBand="0" w:evenVBand="0" w:oddHBand="0" w:evenHBand="0" w:firstRowFirstColumn="0" w:firstRowLastColumn="0" w:lastRowFirstColumn="0" w:lastRowLastColumn="0"/>
            <w:tcW w:w="3397" w:type="dxa"/>
          </w:tcPr>
          <w:p w14:paraId="5DE9320A" w14:textId="1BAA99D5" w:rsidR="00356070" w:rsidRDefault="00356070" w:rsidP="00E472A8">
            <w:r>
              <w:t>Number of sessions</w:t>
            </w:r>
            <w:r w:rsidR="00351504">
              <w:t>:</w:t>
            </w:r>
            <w:r>
              <w:t xml:space="preserve"> </w:t>
            </w:r>
          </w:p>
        </w:tc>
        <w:tc>
          <w:tcPr>
            <w:tcW w:w="10490" w:type="dxa"/>
          </w:tcPr>
          <w:p w14:paraId="56318B1D" w14:textId="736FDDB8" w:rsidR="00356070" w:rsidRPr="00236A6A" w:rsidRDefault="00356070" w:rsidP="00E472A8">
            <w:pPr>
              <w:cnfStyle w:val="000000000000" w:firstRow="0" w:lastRow="0" w:firstColumn="0" w:lastColumn="0" w:oddVBand="0" w:evenVBand="0" w:oddHBand="0" w:evenHBand="0" w:firstRowFirstColumn="0" w:firstRowLastColumn="0" w:lastRowFirstColumn="0" w:lastRowLastColumn="0"/>
              <w:rPr>
                <w:i/>
              </w:rPr>
            </w:pPr>
            <w:r w:rsidRPr="6058A18D">
              <w:rPr>
                <w:i/>
                <w:iCs/>
              </w:rPr>
              <w:t>[</w:t>
            </w:r>
            <w:r>
              <w:rPr>
                <w:i/>
                <w:iCs/>
              </w:rPr>
              <w:t>Banks</w:t>
            </w:r>
            <w:r w:rsidRPr="6058A18D">
              <w:rPr>
                <w:i/>
                <w:iCs/>
              </w:rPr>
              <w:t xml:space="preserve"> should </w:t>
            </w:r>
            <w:r w:rsidR="00BF0845">
              <w:rPr>
                <w:i/>
                <w:iCs/>
              </w:rPr>
              <w:t>state</w:t>
            </w:r>
            <w:r w:rsidR="00036AD9" w:rsidRPr="6058A18D">
              <w:rPr>
                <w:i/>
                <w:iCs/>
              </w:rPr>
              <w:t xml:space="preserve"> </w:t>
            </w:r>
            <w:r w:rsidRPr="6058A18D">
              <w:rPr>
                <w:i/>
                <w:iCs/>
              </w:rPr>
              <w:t>the number of sessions conducted during the test</w:t>
            </w:r>
            <w:r w:rsidR="00E46F02">
              <w:rPr>
                <w:i/>
                <w:iCs/>
              </w:rPr>
              <w:t>.</w:t>
            </w:r>
            <w:r w:rsidRPr="6058A18D">
              <w:rPr>
                <w:i/>
                <w:iCs/>
              </w:rPr>
              <w:t>]</w:t>
            </w:r>
          </w:p>
        </w:tc>
      </w:tr>
      <w:tr w:rsidR="00356070" w:rsidRPr="007B727F" w14:paraId="125C2346" w14:textId="77777777" w:rsidTr="00622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bottom w:val="single" w:sz="4" w:space="0" w:color="auto"/>
            </w:tcBorders>
            <w:shd w:val="clear" w:color="auto" w:fill="BDDEFF" w:themeFill="text2" w:themeFillTint="33"/>
          </w:tcPr>
          <w:p w14:paraId="751A4CB9" w14:textId="0F37B46E" w:rsidR="00356070" w:rsidRPr="007B727F" w:rsidRDefault="00356070" w:rsidP="00E472A8">
            <w:pPr>
              <w:rPr>
                <w:bCs w:val="0"/>
              </w:rPr>
            </w:pPr>
            <w:r w:rsidRPr="00DC4088">
              <w:t>Any deviation(s)</w:t>
            </w:r>
            <w:r w:rsidRPr="00785C00">
              <w:t xml:space="preserve"> </w:t>
            </w:r>
            <w:r w:rsidRPr="00DC4088">
              <w:t>from the</w:t>
            </w:r>
            <w:r w:rsidR="00D5289B">
              <w:t xml:space="preserve"> </w:t>
            </w:r>
            <w:r w:rsidR="00BF0845" w:rsidRPr="00DC4088">
              <w:t>multi-annual testing programme</w:t>
            </w:r>
            <w:r w:rsidR="00DC4088" w:rsidRPr="00DC4088">
              <w:t xml:space="preserve"> and </w:t>
            </w:r>
            <w:r w:rsidR="00D70067">
              <w:t>agreed</w:t>
            </w:r>
            <w:r w:rsidR="00D70067" w:rsidRPr="00233E50">
              <w:t xml:space="preserve"> </w:t>
            </w:r>
            <w:r w:rsidR="00DC4088" w:rsidRPr="00DC4088">
              <w:t>internal resolvability testing plan</w:t>
            </w:r>
            <w:r w:rsidRPr="007B727F">
              <w:t xml:space="preserve">? If so, </w:t>
            </w:r>
            <w:r>
              <w:t>provide the</w:t>
            </w:r>
            <w:r w:rsidRPr="007B727F">
              <w:t xml:space="preserve"> justification</w:t>
            </w:r>
            <w:r w:rsidR="00351504">
              <w:t>:</w:t>
            </w:r>
          </w:p>
        </w:tc>
        <w:tc>
          <w:tcPr>
            <w:tcW w:w="10490" w:type="dxa"/>
            <w:tcBorders>
              <w:bottom w:val="single" w:sz="4" w:space="0" w:color="auto"/>
            </w:tcBorders>
            <w:shd w:val="clear" w:color="auto" w:fill="BDDEFF" w:themeFill="text2" w:themeFillTint="33"/>
          </w:tcPr>
          <w:p w14:paraId="0CFE49A6" w14:textId="67118FB0" w:rsidR="00356070" w:rsidRPr="00236A6A" w:rsidRDefault="00356070" w:rsidP="00E472A8">
            <w:pPr>
              <w:cnfStyle w:val="000000100000" w:firstRow="0" w:lastRow="0" w:firstColumn="0" w:lastColumn="0" w:oddVBand="0" w:evenVBand="0" w:oddHBand="1" w:evenHBand="0" w:firstRowFirstColumn="0" w:firstRowLastColumn="0" w:lastRowFirstColumn="0" w:lastRowLastColumn="0"/>
              <w:rPr>
                <w:i/>
              </w:rPr>
            </w:pPr>
            <w:r w:rsidRPr="001A239C">
              <w:rPr>
                <w:i/>
                <w:iCs/>
              </w:rPr>
              <w:t>[</w:t>
            </w:r>
            <w:r>
              <w:rPr>
                <w:i/>
                <w:iCs/>
              </w:rPr>
              <w:t>Banks</w:t>
            </w:r>
            <w:r w:rsidRPr="001A239C">
              <w:rPr>
                <w:i/>
                <w:iCs/>
              </w:rPr>
              <w:t xml:space="preserve"> should </w:t>
            </w:r>
            <w:r w:rsidR="00A626B2">
              <w:rPr>
                <w:i/>
                <w:iCs/>
              </w:rPr>
              <w:t>report</w:t>
            </w:r>
            <w:r w:rsidR="00A626B2" w:rsidRPr="001A239C">
              <w:rPr>
                <w:i/>
                <w:iCs/>
              </w:rPr>
              <w:t xml:space="preserve"> </w:t>
            </w:r>
            <w:r w:rsidRPr="001A239C">
              <w:rPr>
                <w:i/>
                <w:iCs/>
              </w:rPr>
              <w:t xml:space="preserve">any deviations from the </w:t>
            </w:r>
            <w:r w:rsidR="00A626B2">
              <w:rPr>
                <w:i/>
                <w:iCs/>
              </w:rPr>
              <w:t>multi-annual testing programme</w:t>
            </w:r>
            <w:r w:rsidR="00F56149">
              <w:rPr>
                <w:i/>
                <w:iCs/>
              </w:rPr>
              <w:t xml:space="preserve"> </w:t>
            </w:r>
            <w:r w:rsidR="00E53D21">
              <w:rPr>
                <w:i/>
                <w:iCs/>
              </w:rPr>
              <w:t xml:space="preserve">and agreed internal resolvability testing plan </w:t>
            </w:r>
            <w:r w:rsidR="00F56149">
              <w:rPr>
                <w:i/>
                <w:iCs/>
              </w:rPr>
              <w:t>(</w:t>
            </w:r>
            <w:r w:rsidR="00F56149" w:rsidRPr="001A239C">
              <w:rPr>
                <w:i/>
                <w:iCs/>
              </w:rPr>
              <w:t xml:space="preserve">including any additional expectations </w:t>
            </w:r>
            <w:r w:rsidR="00F56149">
              <w:rPr>
                <w:i/>
                <w:iCs/>
              </w:rPr>
              <w:t>communicated by</w:t>
            </w:r>
            <w:r w:rsidR="00F56149" w:rsidRPr="001A239C">
              <w:rPr>
                <w:i/>
                <w:iCs/>
              </w:rPr>
              <w:t xml:space="preserve"> the IRT</w:t>
            </w:r>
            <w:r w:rsidR="00F56149">
              <w:rPr>
                <w:i/>
                <w:iCs/>
              </w:rPr>
              <w:t>)</w:t>
            </w:r>
            <w:r w:rsidRPr="001A239C">
              <w:rPr>
                <w:i/>
                <w:iCs/>
              </w:rPr>
              <w:t xml:space="preserve"> and </w:t>
            </w:r>
            <w:r w:rsidR="00A626B2">
              <w:rPr>
                <w:i/>
                <w:iCs/>
              </w:rPr>
              <w:t xml:space="preserve">should provide </w:t>
            </w:r>
            <w:r w:rsidRPr="001A239C">
              <w:rPr>
                <w:i/>
                <w:iCs/>
              </w:rPr>
              <w:t xml:space="preserve">the justification </w:t>
            </w:r>
            <w:r w:rsidR="00297133">
              <w:rPr>
                <w:i/>
                <w:iCs/>
              </w:rPr>
              <w:t xml:space="preserve">for </w:t>
            </w:r>
            <w:r w:rsidR="00F56149">
              <w:rPr>
                <w:i/>
                <w:iCs/>
              </w:rPr>
              <w:t>such</w:t>
            </w:r>
            <w:r w:rsidR="00F56149" w:rsidRPr="001A239C">
              <w:rPr>
                <w:i/>
                <w:iCs/>
              </w:rPr>
              <w:t xml:space="preserve"> </w:t>
            </w:r>
            <w:r w:rsidRPr="001A239C">
              <w:rPr>
                <w:i/>
                <w:iCs/>
              </w:rPr>
              <w:t>deviations</w:t>
            </w:r>
            <w:r w:rsidR="00F56149">
              <w:rPr>
                <w:i/>
                <w:iCs/>
              </w:rPr>
              <w:t>.</w:t>
            </w:r>
            <w:r w:rsidRPr="001A239C">
              <w:rPr>
                <w:i/>
                <w:iCs/>
              </w:rPr>
              <w:t xml:space="preserve"> </w:t>
            </w:r>
            <w:r>
              <w:rPr>
                <w:i/>
                <w:iCs/>
              </w:rPr>
              <w:t>Banks</w:t>
            </w:r>
            <w:r w:rsidRPr="001A239C">
              <w:rPr>
                <w:i/>
                <w:iCs/>
              </w:rPr>
              <w:t xml:space="preserve"> should also note whether the IRT has been contacted in this regard and whether it has approved the deviation(s)</w:t>
            </w:r>
            <w:r w:rsidR="003D36F1">
              <w:rPr>
                <w:i/>
                <w:iCs/>
              </w:rPr>
              <w:t>.</w:t>
            </w:r>
            <w:r w:rsidRPr="001A239C">
              <w:rPr>
                <w:i/>
                <w:iCs/>
              </w:rPr>
              <w:t>]</w:t>
            </w:r>
          </w:p>
        </w:tc>
      </w:tr>
      <w:tr w:rsidR="00356070" w:rsidRPr="00976D91" w14:paraId="3FE9D3F8" w14:textId="77777777" w:rsidTr="00297133">
        <w:tblPrEx>
          <w:tblBorders>
            <w:top w:val="single" w:sz="4" w:space="0" w:color="FFE166" w:themeColor="accent5" w:themeTint="99"/>
            <w:left w:val="none" w:sz="0" w:space="0" w:color="auto"/>
            <w:bottom w:val="single" w:sz="4" w:space="0" w:color="FFE166" w:themeColor="accent5" w:themeTint="99"/>
            <w:right w:val="none" w:sz="0" w:space="0" w:color="auto"/>
            <w:insideH w:val="single" w:sz="4" w:space="0" w:color="FFE166" w:themeColor="accent5" w:themeTint="99"/>
            <w:insideV w:val="none" w:sz="0" w:space="0" w:color="auto"/>
          </w:tblBorders>
        </w:tblPrEx>
        <w:trPr>
          <w:trHeight w:val="359"/>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left w:val="single" w:sz="4" w:space="0" w:color="auto"/>
              <w:bottom w:val="single" w:sz="4" w:space="0" w:color="auto"/>
              <w:right w:val="single" w:sz="4" w:space="0" w:color="auto"/>
            </w:tcBorders>
          </w:tcPr>
          <w:p w14:paraId="73C1F038" w14:textId="27C247D4" w:rsidR="00356070" w:rsidRPr="00D0166A" w:rsidRDefault="006A4F40" w:rsidP="00E472A8">
            <w:pPr>
              <w:rPr>
                <w:b w:val="0"/>
                <w:bCs w:val="0"/>
                <w:lang w:val="en-US"/>
              </w:rPr>
            </w:pPr>
            <w:bookmarkStart w:id="6" w:name="_Toc156828263"/>
            <w:bookmarkStart w:id="7" w:name="_Toc176966740"/>
            <w:r w:rsidRPr="006A4F40">
              <w:rPr>
                <w:lang w:val="en-US"/>
              </w:rPr>
              <w:t xml:space="preserve">Independent observer(s) and </w:t>
            </w:r>
            <w:r w:rsidR="00351504">
              <w:rPr>
                <w:lang w:val="en-US"/>
              </w:rPr>
              <w:t>f</w:t>
            </w:r>
            <w:r w:rsidRPr="006A4F40">
              <w:rPr>
                <w:lang w:val="en-US"/>
              </w:rPr>
              <w:t>acilitator(s)</w:t>
            </w:r>
            <w:r>
              <w:rPr>
                <w:lang w:val="en-US"/>
              </w:rPr>
              <w:t>:</w:t>
            </w:r>
          </w:p>
        </w:tc>
        <w:tc>
          <w:tcPr>
            <w:tcW w:w="10490" w:type="dxa"/>
            <w:tcBorders>
              <w:top w:val="single" w:sz="4" w:space="0" w:color="auto"/>
              <w:left w:val="single" w:sz="4" w:space="0" w:color="auto"/>
              <w:bottom w:val="single" w:sz="4" w:space="0" w:color="auto"/>
              <w:right w:val="single" w:sz="4" w:space="0" w:color="auto"/>
            </w:tcBorders>
          </w:tcPr>
          <w:p w14:paraId="72299298" w14:textId="634A5147" w:rsidR="00356070" w:rsidRPr="00297133" w:rsidRDefault="006A4F40" w:rsidP="00E472A8">
            <w:pPr>
              <w:cnfStyle w:val="000000000000" w:firstRow="0" w:lastRow="0" w:firstColumn="0" w:lastColumn="0" w:oddVBand="0" w:evenVBand="0" w:oddHBand="0" w:evenHBand="0" w:firstRowFirstColumn="0" w:firstRowLastColumn="0" w:lastRowFirstColumn="0" w:lastRowLastColumn="0"/>
              <w:rPr>
                <w:i/>
                <w:iCs/>
                <w:lang w:val="en-US"/>
              </w:rPr>
            </w:pPr>
            <w:r w:rsidRPr="00297133">
              <w:rPr>
                <w:i/>
                <w:iCs/>
                <w:lang w:val="en-US"/>
              </w:rPr>
              <w:t xml:space="preserve">[Banks should indicate the name, role within the bank, and department, of any </w:t>
            </w:r>
            <w:r>
              <w:rPr>
                <w:i/>
                <w:iCs/>
                <w:lang w:val="en-US"/>
              </w:rPr>
              <w:t xml:space="preserve">independent observer or </w:t>
            </w:r>
            <w:r w:rsidRPr="00297133">
              <w:rPr>
                <w:i/>
                <w:iCs/>
                <w:lang w:val="en-US"/>
              </w:rPr>
              <w:t xml:space="preserve">facilitator. If </w:t>
            </w:r>
            <w:r w:rsidR="003D36F1">
              <w:rPr>
                <w:i/>
                <w:iCs/>
                <w:lang w:val="en-US"/>
              </w:rPr>
              <w:t xml:space="preserve">the </w:t>
            </w:r>
            <w:r>
              <w:rPr>
                <w:i/>
                <w:iCs/>
                <w:lang w:val="en-US"/>
              </w:rPr>
              <w:t>independent observer/</w:t>
            </w:r>
            <w:r w:rsidRPr="00297133">
              <w:rPr>
                <w:i/>
                <w:iCs/>
                <w:lang w:val="en-US"/>
              </w:rPr>
              <w:t xml:space="preserve">facilitator </w:t>
            </w:r>
            <w:r>
              <w:rPr>
                <w:i/>
                <w:iCs/>
                <w:lang w:val="en-US"/>
              </w:rPr>
              <w:t>is an</w:t>
            </w:r>
            <w:r w:rsidRPr="00297133">
              <w:rPr>
                <w:i/>
                <w:iCs/>
                <w:lang w:val="en-US"/>
              </w:rPr>
              <w:t xml:space="preserve"> external consultant, </w:t>
            </w:r>
            <w:r>
              <w:rPr>
                <w:i/>
                <w:iCs/>
                <w:lang w:val="en-US"/>
              </w:rPr>
              <w:t xml:space="preserve">this </w:t>
            </w:r>
            <w:r w:rsidRPr="00297133">
              <w:rPr>
                <w:i/>
                <w:iCs/>
                <w:lang w:val="en-US"/>
              </w:rPr>
              <w:t xml:space="preserve">should be </w:t>
            </w:r>
            <w:r>
              <w:rPr>
                <w:i/>
                <w:iCs/>
                <w:lang w:val="en-US"/>
              </w:rPr>
              <w:t>clearly noted</w:t>
            </w:r>
            <w:r w:rsidR="003D36F1">
              <w:rPr>
                <w:i/>
                <w:iCs/>
                <w:lang w:val="en-US"/>
              </w:rPr>
              <w:t>,</w:t>
            </w:r>
            <w:r>
              <w:rPr>
                <w:i/>
                <w:iCs/>
                <w:lang w:val="en-US"/>
              </w:rPr>
              <w:t xml:space="preserve"> mentioning the </w:t>
            </w:r>
            <w:r w:rsidR="003D36F1">
              <w:rPr>
                <w:i/>
                <w:iCs/>
                <w:lang w:val="en-US"/>
              </w:rPr>
              <w:t xml:space="preserve">relevant </w:t>
            </w:r>
            <w:r>
              <w:rPr>
                <w:i/>
                <w:iCs/>
                <w:lang w:val="en-US"/>
              </w:rPr>
              <w:t>(</w:t>
            </w:r>
            <w:r w:rsidRPr="00297133">
              <w:rPr>
                <w:i/>
                <w:iCs/>
                <w:lang w:val="en-US"/>
              </w:rPr>
              <w:t>consultancy</w:t>
            </w:r>
            <w:r>
              <w:rPr>
                <w:i/>
                <w:iCs/>
                <w:lang w:val="en-US"/>
              </w:rPr>
              <w:t>)</w:t>
            </w:r>
            <w:r w:rsidRPr="00297133">
              <w:rPr>
                <w:i/>
                <w:iCs/>
                <w:lang w:val="en-US"/>
              </w:rPr>
              <w:t xml:space="preserve"> firm</w:t>
            </w:r>
            <w:r w:rsidR="003D36F1">
              <w:rPr>
                <w:i/>
                <w:iCs/>
                <w:lang w:val="en-US"/>
              </w:rPr>
              <w:t>.</w:t>
            </w:r>
            <w:r w:rsidRPr="00297133">
              <w:rPr>
                <w:i/>
                <w:iCs/>
                <w:lang w:val="en-US"/>
              </w:rPr>
              <w:t>]</w:t>
            </w:r>
          </w:p>
        </w:tc>
      </w:tr>
    </w:tbl>
    <w:p w14:paraId="4BE628D7" w14:textId="77777777" w:rsidR="00036AD9" w:rsidRDefault="00036AD9" w:rsidP="00297133">
      <w:pPr>
        <w:pStyle w:val="NoSpacing"/>
      </w:pPr>
      <w:bookmarkStart w:id="8" w:name="_Toc188472266"/>
    </w:p>
    <w:p w14:paraId="44C92C7E" w14:textId="29DA7FA6" w:rsidR="00D55A84" w:rsidRDefault="00D55A84" w:rsidP="008819E6">
      <w:pPr>
        <w:pStyle w:val="NoSpacing"/>
      </w:pPr>
      <w:bookmarkStart w:id="9" w:name="_Toc188472267"/>
      <w:bookmarkEnd w:id="6"/>
      <w:bookmarkEnd w:id="7"/>
      <w:bookmarkEnd w:id="8"/>
    </w:p>
    <w:p w14:paraId="3E5FBBF3" w14:textId="40C78CD4" w:rsidR="00A62C11" w:rsidRDefault="00A62C11">
      <w:pPr>
        <w:spacing w:before="0" w:after="160" w:line="259" w:lineRule="auto"/>
        <w:jc w:val="left"/>
        <w:rPr>
          <w:rFonts w:eastAsiaTheme="minorEastAsia"/>
          <w:sz w:val="22"/>
          <w:lang w:val="en-US"/>
        </w:rPr>
      </w:pPr>
      <w:r>
        <w:br w:type="page"/>
      </w:r>
    </w:p>
    <w:p w14:paraId="3172CFB0" w14:textId="22DF2778" w:rsidR="00356070" w:rsidRPr="000B594E" w:rsidRDefault="00356070" w:rsidP="00297133">
      <w:pPr>
        <w:pStyle w:val="Heading1"/>
        <w:keepNext/>
      </w:pPr>
      <w:r w:rsidRPr="001A239C">
        <w:lastRenderedPageBreak/>
        <w:t>Sessions</w:t>
      </w:r>
      <w:bookmarkEnd w:id="9"/>
    </w:p>
    <w:p w14:paraId="1C9651A8" w14:textId="77777777" w:rsidR="00356070" w:rsidRPr="00CC5133" w:rsidRDefault="00356070" w:rsidP="00356070">
      <w:pPr>
        <w:pStyle w:val="Heading3"/>
      </w:pPr>
      <w:bookmarkStart w:id="10" w:name="_Toc176966743"/>
      <w:bookmarkStart w:id="11" w:name="_Toc188472268"/>
      <w:r w:rsidRPr="00CC5133">
        <w:t>Session […] (Please create a table for each session; sessions should be numbered – session 1, session 2, session 3, etc.)</w:t>
      </w:r>
      <w:bookmarkEnd w:id="10"/>
      <w:bookmarkEnd w:id="11"/>
      <w:r w:rsidRPr="11463089">
        <w:t xml:space="preserve"> </w:t>
      </w:r>
    </w:p>
    <w:tbl>
      <w:tblPr>
        <w:tblStyle w:val="ListTable2-Accent5"/>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111"/>
        <w:gridCol w:w="6379"/>
      </w:tblGrid>
      <w:tr w:rsidR="00356070" w:rsidRPr="007B727F" w14:paraId="3C346A16" w14:textId="77777777" w:rsidTr="00D927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DC74EC8" w14:textId="33463B12" w:rsidR="00356070" w:rsidRPr="007B727F" w:rsidRDefault="00356070" w:rsidP="00E472A8">
            <w:pPr>
              <w:rPr>
                <w:bCs w:val="0"/>
              </w:rPr>
            </w:pPr>
            <w:r w:rsidRPr="007B727F">
              <w:t xml:space="preserve">Date/time </w:t>
            </w:r>
            <w:r w:rsidR="000315D8">
              <w:t>of</w:t>
            </w:r>
            <w:r w:rsidR="000315D8" w:rsidRPr="007B727F">
              <w:t xml:space="preserve"> </w:t>
            </w:r>
            <w:r w:rsidRPr="007B727F">
              <w:t xml:space="preserve">the session: </w:t>
            </w:r>
          </w:p>
        </w:tc>
        <w:tc>
          <w:tcPr>
            <w:tcW w:w="10490" w:type="dxa"/>
            <w:gridSpan w:val="2"/>
          </w:tcPr>
          <w:p w14:paraId="722623B2" w14:textId="351CF2A6" w:rsidR="00356070" w:rsidRPr="007B727F" w:rsidRDefault="00356070" w:rsidP="00E472A8">
            <w:pPr>
              <w:cnfStyle w:val="100000000000" w:firstRow="1" w:lastRow="0" w:firstColumn="0" w:lastColumn="0" w:oddVBand="0" w:evenVBand="0" w:oddHBand="0" w:evenHBand="0" w:firstRowFirstColumn="0" w:firstRowLastColumn="0" w:lastRowFirstColumn="0" w:lastRowLastColumn="0"/>
              <w:rPr>
                <w:b w:val="0"/>
                <w:bCs w:val="0"/>
              </w:rPr>
            </w:pPr>
            <w:r w:rsidRPr="6058A18D">
              <w:rPr>
                <w:b w:val="0"/>
                <w:bCs w:val="0"/>
                <w:i/>
                <w:iCs/>
              </w:rPr>
              <w:t>[</w:t>
            </w:r>
            <w:r>
              <w:rPr>
                <w:b w:val="0"/>
                <w:bCs w:val="0"/>
                <w:i/>
                <w:iCs/>
              </w:rPr>
              <w:t>Banks</w:t>
            </w:r>
            <w:r w:rsidRPr="6058A18D">
              <w:rPr>
                <w:b w:val="0"/>
                <w:bCs w:val="0"/>
                <w:i/>
                <w:iCs/>
              </w:rPr>
              <w:t xml:space="preserve"> should identify when the session started and when it ended, including the date and time</w:t>
            </w:r>
            <w:r w:rsidR="00857092">
              <w:rPr>
                <w:b w:val="0"/>
                <w:bCs w:val="0"/>
                <w:i/>
                <w:iCs/>
              </w:rPr>
              <w:t>.</w:t>
            </w:r>
            <w:r w:rsidRPr="6058A18D">
              <w:rPr>
                <w:b w:val="0"/>
                <w:bCs w:val="0"/>
                <w:i/>
                <w:iCs/>
              </w:rPr>
              <w:t>]</w:t>
            </w:r>
          </w:p>
        </w:tc>
      </w:tr>
      <w:tr w:rsidR="00356070" w:rsidRPr="007B727F" w14:paraId="177D738D" w14:textId="77777777" w:rsidTr="00622E32">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3397" w:type="dxa"/>
            <w:shd w:val="clear" w:color="auto" w:fill="BDDEFF" w:themeFill="text2" w:themeFillTint="33"/>
          </w:tcPr>
          <w:p w14:paraId="41D6A2BC" w14:textId="45B58E9C" w:rsidR="00356070" w:rsidRPr="007B727F" w:rsidRDefault="00356070" w:rsidP="00E472A8">
            <w:r>
              <w:t>Document</w:t>
            </w:r>
            <w:r w:rsidR="003658FE">
              <w:t>ation</w:t>
            </w:r>
            <w:r>
              <w:t xml:space="preserve"> </w:t>
            </w:r>
            <w:r w:rsidR="00217734">
              <w:t>used</w:t>
            </w:r>
            <w:r w:rsidRPr="11463089">
              <w:t>:</w:t>
            </w:r>
          </w:p>
        </w:tc>
        <w:tc>
          <w:tcPr>
            <w:tcW w:w="10490" w:type="dxa"/>
            <w:gridSpan w:val="2"/>
            <w:shd w:val="clear" w:color="auto" w:fill="BDDEFF" w:themeFill="text2" w:themeFillTint="33"/>
          </w:tcPr>
          <w:p w14:paraId="622DF0D8" w14:textId="330EA25F" w:rsidR="00356070" w:rsidRPr="00236A6A" w:rsidRDefault="00356070" w:rsidP="00E472A8">
            <w:pPr>
              <w:cnfStyle w:val="000000100000" w:firstRow="0" w:lastRow="0" w:firstColumn="0" w:lastColumn="0" w:oddVBand="0" w:evenVBand="0" w:oddHBand="1" w:evenHBand="0" w:firstRowFirstColumn="0" w:firstRowLastColumn="0" w:lastRowFirstColumn="0" w:lastRowLastColumn="0"/>
              <w:rPr>
                <w:b/>
              </w:rPr>
            </w:pPr>
            <w:r w:rsidRPr="6058A18D">
              <w:rPr>
                <w:i/>
                <w:iCs/>
              </w:rPr>
              <w:t>[</w:t>
            </w:r>
            <w:r>
              <w:rPr>
                <w:i/>
                <w:iCs/>
              </w:rPr>
              <w:t>Banks</w:t>
            </w:r>
            <w:r w:rsidRPr="6058A18D">
              <w:rPr>
                <w:i/>
                <w:iCs/>
              </w:rPr>
              <w:t xml:space="preserve"> should identify wh</w:t>
            </w:r>
            <w:r w:rsidR="00857092">
              <w:rPr>
                <w:i/>
                <w:iCs/>
              </w:rPr>
              <w:t>at</w:t>
            </w:r>
            <w:r w:rsidRPr="6058A18D">
              <w:rPr>
                <w:i/>
                <w:iCs/>
              </w:rPr>
              <w:t xml:space="preserve"> document</w:t>
            </w:r>
            <w:r w:rsidR="003658FE">
              <w:rPr>
                <w:i/>
                <w:iCs/>
              </w:rPr>
              <w:t>ation</w:t>
            </w:r>
            <w:r w:rsidRPr="6058A18D">
              <w:rPr>
                <w:i/>
                <w:iCs/>
              </w:rPr>
              <w:t xml:space="preserve"> </w:t>
            </w:r>
            <w:r w:rsidR="00857092">
              <w:rPr>
                <w:i/>
                <w:iCs/>
              </w:rPr>
              <w:t>was</w:t>
            </w:r>
            <w:r w:rsidR="00857092" w:rsidRPr="6058A18D">
              <w:rPr>
                <w:i/>
                <w:iCs/>
              </w:rPr>
              <w:t xml:space="preserve"> </w:t>
            </w:r>
            <w:r w:rsidRPr="6058A18D">
              <w:rPr>
                <w:i/>
                <w:iCs/>
              </w:rPr>
              <w:t>used during the session</w:t>
            </w:r>
            <w:r w:rsidR="00857092">
              <w:rPr>
                <w:i/>
                <w:iCs/>
              </w:rPr>
              <w:t>.</w:t>
            </w:r>
            <w:r w:rsidRPr="6058A18D">
              <w:rPr>
                <w:i/>
                <w:iCs/>
              </w:rPr>
              <w:t>]</w:t>
            </w:r>
          </w:p>
        </w:tc>
      </w:tr>
      <w:tr w:rsidR="00356070" w:rsidRPr="007B727F" w14:paraId="1F05FF22" w14:textId="77777777" w:rsidTr="007721DC">
        <w:trPr>
          <w:trHeight w:val="840"/>
        </w:trPr>
        <w:tc>
          <w:tcPr>
            <w:cnfStyle w:val="001000000000" w:firstRow="0" w:lastRow="0" w:firstColumn="1" w:lastColumn="0" w:oddVBand="0" w:evenVBand="0" w:oddHBand="0" w:evenHBand="0" w:firstRowFirstColumn="0" w:firstRowLastColumn="0" w:lastRowFirstColumn="0" w:lastRowLastColumn="0"/>
            <w:tcW w:w="3397" w:type="dxa"/>
          </w:tcPr>
          <w:p w14:paraId="3E4C718B" w14:textId="12268BCE" w:rsidR="00356070" w:rsidRPr="007B727F" w:rsidRDefault="00356070" w:rsidP="00E472A8">
            <w:r w:rsidRPr="007B727F">
              <w:t xml:space="preserve">Activities </w:t>
            </w:r>
            <w:r w:rsidR="008A2993">
              <w:t>carrie</w:t>
            </w:r>
            <w:r w:rsidR="00A14C26">
              <w:t>d</w:t>
            </w:r>
            <w:r w:rsidR="008A2993">
              <w:t xml:space="preserve"> out during</w:t>
            </w:r>
            <w:r w:rsidRPr="007B727F">
              <w:t xml:space="preserve"> the session </w:t>
            </w:r>
            <w:r w:rsidR="00217734">
              <w:t>and</w:t>
            </w:r>
            <w:r w:rsidRPr="007B727F">
              <w:t xml:space="preserve"> </w:t>
            </w:r>
            <w:r w:rsidR="000315D8">
              <w:t>deliverables</w:t>
            </w:r>
            <w:r w:rsidRPr="007B727F">
              <w:t xml:space="preserve">: </w:t>
            </w:r>
          </w:p>
        </w:tc>
        <w:tc>
          <w:tcPr>
            <w:tcW w:w="10490" w:type="dxa"/>
            <w:gridSpan w:val="2"/>
          </w:tcPr>
          <w:p w14:paraId="15ACBE1C" w14:textId="68B31BB1" w:rsidR="00275FB3" w:rsidRPr="007721DC" w:rsidRDefault="00356070" w:rsidP="007721DC">
            <w:pPr>
              <w:cnfStyle w:val="000000000000" w:firstRow="0" w:lastRow="0" w:firstColumn="0" w:lastColumn="0" w:oddVBand="0" w:evenVBand="0" w:oddHBand="0" w:evenHBand="0" w:firstRowFirstColumn="0" w:firstRowLastColumn="0" w:lastRowFirstColumn="0" w:lastRowLastColumn="0"/>
              <w:rPr>
                <w:i/>
                <w:iCs/>
              </w:rPr>
            </w:pPr>
            <w:r w:rsidRPr="6058A18D">
              <w:rPr>
                <w:i/>
                <w:iCs/>
              </w:rPr>
              <w:t>[</w:t>
            </w:r>
            <w:r>
              <w:rPr>
                <w:i/>
                <w:iCs/>
              </w:rPr>
              <w:t>Banks</w:t>
            </w:r>
            <w:r w:rsidRPr="6058A18D">
              <w:rPr>
                <w:i/>
                <w:iCs/>
              </w:rPr>
              <w:t xml:space="preserve"> should break down each session and identify which activities were covered during that session</w:t>
            </w:r>
            <w:r w:rsidR="00217734">
              <w:rPr>
                <w:i/>
                <w:iCs/>
              </w:rPr>
              <w:t xml:space="preserve">. </w:t>
            </w:r>
            <w:r w:rsidR="000315D8">
              <w:rPr>
                <w:i/>
                <w:iCs/>
              </w:rPr>
              <w:t>Any d</w:t>
            </w:r>
            <w:r w:rsidR="00217734" w:rsidRPr="6058A18D">
              <w:rPr>
                <w:i/>
                <w:iCs/>
              </w:rPr>
              <w:t xml:space="preserve">ocuments </w:t>
            </w:r>
            <w:r w:rsidR="00A06A25">
              <w:rPr>
                <w:i/>
                <w:iCs/>
              </w:rPr>
              <w:t xml:space="preserve">that </w:t>
            </w:r>
            <w:r w:rsidR="00217734" w:rsidRPr="6058A18D">
              <w:rPr>
                <w:i/>
                <w:iCs/>
              </w:rPr>
              <w:t>were prepared</w:t>
            </w:r>
            <w:r w:rsidR="00217734">
              <w:rPr>
                <w:i/>
                <w:iCs/>
              </w:rPr>
              <w:t>/</w:t>
            </w:r>
            <w:r w:rsidR="00217734" w:rsidRPr="6058A18D">
              <w:rPr>
                <w:i/>
                <w:iCs/>
              </w:rPr>
              <w:t>finalised during the sessio</w:t>
            </w:r>
            <w:r w:rsidR="00217734">
              <w:rPr>
                <w:i/>
                <w:iCs/>
              </w:rPr>
              <w:t>n</w:t>
            </w:r>
            <w:r w:rsidR="00A06A25">
              <w:rPr>
                <w:i/>
                <w:iCs/>
              </w:rPr>
              <w:t xml:space="preserve"> should be specified</w:t>
            </w:r>
            <w:r w:rsidR="00857092">
              <w:rPr>
                <w:i/>
                <w:iCs/>
              </w:rPr>
              <w:t>.</w:t>
            </w:r>
            <w:r w:rsidRPr="6058A18D">
              <w:rPr>
                <w:i/>
                <w:iCs/>
              </w:rPr>
              <w:t>]</w:t>
            </w:r>
          </w:p>
        </w:tc>
      </w:tr>
      <w:tr w:rsidR="00356070" w:rsidRPr="007B727F" w14:paraId="6CB7FA8F" w14:textId="77777777" w:rsidTr="00622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BDDEFF" w:themeFill="text2" w:themeFillTint="33"/>
          </w:tcPr>
          <w:p w14:paraId="44196F5A" w14:textId="26F30F34" w:rsidR="00356070" w:rsidRPr="007B727F" w:rsidRDefault="00356070" w:rsidP="00E472A8">
            <w:r>
              <w:t>S</w:t>
            </w:r>
            <w:r w:rsidRPr="007B727F">
              <w:t>taff involved:</w:t>
            </w:r>
          </w:p>
        </w:tc>
        <w:tc>
          <w:tcPr>
            <w:tcW w:w="10490" w:type="dxa"/>
            <w:gridSpan w:val="2"/>
            <w:shd w:val="clear" w:color="auto" w:fill="BDDEFF" w:themeFill="text2" w:themeFillTint="33"/>
          </w:tcPr>
          <w:p w14:paraId="1ED1ABC9" w14:textId="661A9315" w:rsidR="00356070" w:rsidRPr="00236A6A" w:rsidRDefault="00356070" w:rsidP="00E472A8">
            <w:pPr>
              <w:cnfStyle w:val="000000100000" w:firstRow="0" w:lastRow="0" w:firstColumn="0" w:lastColumn="0" w:oddVBand="0" w:evenVBand="0" w:oddHBand="1" w:evenHBand="0" w:firstRowFirstColumn="0" w:firstRowLastColumn="0" w:lastRowFirstColumn="0" w:lastRowLastColumn="0"/>
              <w:rPr>
                <w:b/>
              </w:rPr>
            </w:pPr>
            <w:r w:rsidRPr="001A239C">
              <w:rPr>
                <w:i/>
                <w:iCs/>
              </w:rPr>
              <w:t>[</w:t>
            </w:r>
            <w:r>
              <w:rPr>
                <w:i/>
                <w:iCs/>
              </w:rPr>
              <w:t>Banks</w:t>
            </w:r>
            <w:r w:rsidRPr="001A239C">
              <w:rPr>
                <w:i/>
                <w:iCs/>
              </w:rPr>
              <w:t xml:space="preserve"> should outline the </w:t>
            </w:r>
            <w:r w:rsidR="00A06A25">
              <w:rPr>
                <w:i/>
                <w:iCs/>
              </w:rPr>
              <w:t>staff involved including their rel</w:t>
            </w:r>
            <w:r w:rsidR="00F56149">
              <w:rPr>
                <w:i/>
                <w:iCs/>
              </w:rPr>
              <w:t>e</w:t>
            </w:r>
            <w:r w:rsidR="00A06A25">
              <w:rPr>
                <w:i/>
                <w:iCs/>
              </w:rPr>
              <w:t xml:space="preserve">vant role. The </w:t>
            </w:r>
            <w:r w:rsidRPr="001A239C">
              <w:rPr>
                <w:i/>
                <w:iCs/>
              </w:rPr>
              <w:t>name, function and department of staff involved during the session</w:t>
            </w:r>
            <w:r w:rsidR="00A06A25">
              <w:rPr>
                <w:i/>
                <w:iCs/>
              </w:rPr>
              <w:t xml:space="preserve"> should be reported</w:t>
            </w:r>
            <w:r w:rsidR="00074E7D">
              <w:rPr>
                <w:i/>
                <w:iCs/>
              </w:rPr>
              <w:t>.</w:t>
            </w:r>
            <w:r w:rsidRPr="001A239C">
              <w:rPr>
                <w:i/>
                <w:iCs/>
              </w:rPr>
              <w:t>]</w:t>
            </w:r>
          </w:p>
        </w:tc>
      </w:tr>
      <w:tr w:rsidR="00356070" w:rsidRPr="007B727F" w14:paraId="4C56C5EC" w14:textId="77777777" w:rsidTr="00D9271A">
        <w:tc>
          <w:tcPr>
            <w:cnfStyle w:val="001000000000" w:firstRow="0" w:lastRow="0" w:firstColumn="1" w:lastColumn="0" w:oddVBand="0" w:evenVBand="0" w:oddHBand="0" w:evenHBand="0" w:firstRowFirstColumn="0" w:firstRowLastColumn="0" w:lastRowFirstColumn="0" w:lastRowLastColumn="0"/>
            <w:tcW w:w="3397" w:type="dxa"/>
          </w:tcPr>
          <w:p w14:paraId="69143728" w14:textId="330D1AE3" w:rsidR="00356070" w:rsidRPr="007B727F" w:rsidRDefault="00356070" w:rsidP="00E472A8">
            <w:r w:rsidRPr="007B727F">
              <w:t>Any deviation</w:t>
            </w:r>
            <w:r w:rsidR="00C64C93">
              <w:t>s</w:t>
            </w:r>
            <w:r w:rsidRPr="007B727F">
              <w:t xml:space="preserve"> from the </w:t>
            </w:r>
            <w:r w:rsidR="00217734">
              <w:t>multi annual testing programme</w:t>
            </w:r>
            <w:r w:rsidR="00E53D21">
              <w:t xml:space="preserve"> </w:t>
            </w:r>
            <w:r w:rsidR="00E53D21" w:rsidRPr="00DC4088">
              <w:t xml:space="preserve">and </w:t>
            </w:r>
            <w:r w:rsidR="00E53D21">
              <w:t>agreed</w:t>
            </w:r>
            <w:r w:rsidR="00E53D21" w:rsidRPr="00233E50">
              <w:t xml:space="preserve"> </w:t>
            </w:r>
            <w:r w:rsidR="00E53D21" w:rsidRPr="00DC4088">
              <w:t>internal resolvability testing plan</w:t>
            </w:r>
            <w:r w:rsidR="007721DC">
              <w:t>:</w:t>
            </w:r>
          </w:p>
        </w:tc>
        <w:tc>
          <w:tcPr>
            <w:tcW w:w="10490" w:type="dxa"/>
            <w:gridSpan w:val="2"/>
          </w:tcPr>
          <w:p w14:paraId="4794F96F" w14:textId="48718124" w:rsidR="00356070" w:rsidRPr="000B594E" w:rsidRDefault="00356070" w:rsidP="00E472A8">
            <w:pPr>
              <w:cnfStyle w:val="000000000000" w:firstRow="0" w:lastRow="0" w:firstColumn="0" w:lastColumn="0" w:oddVBand="0" w:evenVBand="0" w:oddHBand="0" w:evenHBand="0" w:firstRowFirstColumn="0" w:firstRowLastColumn="0" w:lastRowFirstColumn="0" w:lastRowLastColumn="0"/>
            </w:pPr>
            <w:r w:rsidRPr="001A239C">
              <w:rPr>
                <w:i/>
                <w:iCs/>
              </w:rPr>
              <w:t>[</w:t>
            </w:r>
            <w:r>
              <w:rPr>
                <w:i/>
                <w:iCs/>
              </w:rPr>
              <w:t>Banks</w:t>
            </w:r>
            <w:r w:rsidRPr="001A239C">
              <w:rPr>
                <w:i/>
                <w:iCs/>
              </w:rPr>
              <w:t xml:space="preserve"> should identify any deviation from the </w:t>
            </w:r>
            <w:r w:rsidR="00E53D21">
              <w:rPr>
                <w:i/>
                <w:iCs/>
              </w:rPr>
              <w:t xml:space="preserve">multi-annual </w:t>
            </w:r>
            <w:r w:rsidRPr="001A239C">
              <w:rPr>
                <w:i/>
                <w:iCs/>
              </w:rPr>
              <w:t xml:space="preserve">testing </w:t>
            </w:r>
            <w:r w:rsidR="00E53D21">
              <w:rPr>
                <w:i/>
                <w:iCs/>
              </w:rPr>
              <w:t xml:space="preserve">programme </w:t>
            </w:r>
            <w:r w:rsidR="00E53D21" w:rsidRPr="009F7F21">
              <w:rPr>
                <w:i/>
                <w:iCs/>
              </w:rPr>
              <w:t>and agreed internal resolvability testing plan</w:t>
            </w:r>
            <w:r w:rsidR="00E53D21" w:rsidRPr="009F7F21" w:rsidDel="009F7F21">
              <w:rPr>
                <w:i/>
                <w:iCs/>
              </w:rPr>
              <w:t xml:space="preserve"> </w:t>
            </w:r>
            <w:r w:rsidRPr="001A239C">
              <w:rPr>
                <w:i/>
                <w:iCs/>
              </w:rPr>
              <w:t>template and provide a justification</w:t>
            </w:r>
            <w:r w:rsidR="00074E7D">
              <w:rPr>
                <w:i/>
                <w:iCs/>
              </w:rPr>
              <w:t>.</w:t>
            </w:r>
            <w:r w:rsidRPr="001A239C">
              <w:rPr>
                <w:i/>
                <w:iCs/>
              </w:rPr>
              <w:t>]</w:t>
            </w:r>
          </w:p>
          <w:p w14:paraId="3931F37D" w14:textId="18212B6A" w:rsidR="00356070" w:rsidRPr="00236A6A" w:rsidRDefault="00356070" w:rsidP="00E472A8">
            <w:pPr>
              <w:cnfStyle w:val="000000000000" w:firstRow="0" w:lastRow="0" w:firstColumn="0" w:lastColumn="0" w:oddVBand="0" w:evenVBand="0" w:oddHBand="0" w:evenHBand="0" w:firstRowFirstColumn="0" w:firstRowLastColumn="0" w:lastRowFirstColumn="0" w:lastRowLastColumn="0"/>
              <w:rPr>
                <w:i/>
              </w:rPr>
            </w:pPr>
            <w:r w:rsidRPr="001A239C">
              <w:rPr>
                <w:i/>
                <w:iCs/>
              </w:rPr>
              <w:t xml:space="preserve">[The </w:t>
            </w:r>
            <w:r>
              <w:rPr>
                <w:i/>
                <w:iCs/>
              </w:rPr>
              <w:t>bank</w:t>
            </w:r>
            <w:r w:rsidRPr="001A239C">
              <w:rPr>
                <w:i/>
                <w:iCs/>
              </w:rPr>
              <w:t xml:space="preserve"> should conclude whether any relevant department/staff was missing in the exercise or if any department/staff did not perform any relevant action, so that the playbook/relevant document </w:t>
            </w:r>
            <w:r w:rsidR="00074E7D">
              <w:rPr>
                <w:i/>
                <w:iCs/>
              </w:rPr>
              <w:t>can</w:t>
            </w:r>
            <w:r w:rsidR="00074E7D" w:rsidRPr="001A239C">
              <w:rPr>
                <w:i/>
                <w:iCs/>
              </w:rPr>
              <w:t xml:space="preserve"> </w:t>
            </w:r>
            <w:r w:rsidRPr="001A239C">
              <w:rPr>
                <w:i/>
                <w:iCs/>
              </w:rPr>
              <w:t xml:space="preserve">be reviewed accordingly. </w:t>
            </w:r>
            <w:r>
              <w:rPr>
                <w:i/>
                <w:iCs/>
              </w:rPr>
              <w:t>Banks</w:t>
            </w:r>
            <w:r w:rsidRPr="001A239C">
              <w:rPr>
                <w:i/>
                <w:iCs/>
              </w:rPr>
              <w:t xml:space="preserve"> should identify any deviation from the testing exercise template during the test and the justification for the deviation.]</w:t>
            </w:r>
          </w:p>
        </w:tc>
      </w:tr>
      <w:tr w:rsidR="00356070" w:rsidRPr="007B727F" w14:paraId="56A12AFC" w14:textId="77777777" w:rsidTr="00622E3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dxa"/>
            <w:vMerge w:val="restart"/>
            <w:shd w:val="clear" w:color="auto" w:fill="BDDEFF" w:themeFill="text2" w:themeFillTint="33"/>
          </w:tcPr>
          <w:p w14:paraId="37F3BB76" w14:textId="4EFB97FC" w:rsidR="00356070" w:rsidRPr="007B727F" w:rsidRDefault="00356070" w:rsidP="00E472A8">
            <w:pPr>
              <w:rPr>
                <w:bCs w:val="0"/>
              </w:rPr>
            </w:pPr>
            <w:r w:rsidRPr="007B727F">
              <w:t xml:space="preserve">Any </w:t>
            </w:r>
            <w:r w:rsidR="001B6662">
              <w:t>observations occurr</w:t>
            </w:r>
            <w:r w:rsidR="00074E7D">
              <w:t>ing</w:t>
            </w:r>
            <w:r w:rsidR="001B6662">
              <w:t xml:space="preserve"> as </w:t>
            </w:r>
            <w:r w:rsidRPr="007B727F">
              <w:t>obstacles (e.g.</w:t>
            </w:r>
            <w:r w:rsidR="00074E7D">
              <w:t>,</w:t>
            </w:r>
            <w:r w:rsidRPr="007B727F">
              <w:t xml:space="preserve"> operational, legal and technical obstacles) identified</w:t>
            </w:r>
            <w:r w:rsidR="00C64C93">
              <w:t>:</w:t>
            </w:r>
          </w:p>
        </w:tc>
        <w:tc>
          <w:tcPr>
            <w:tcW w:w="4111" w:type="dxa"/>
            <w:shd w:val="clear" w:color="auto" w:fill="BDDEFF" w:themeFill="text2" w:themeFillTint="33"/>
          </w:tcPr>
          <w:p w14:paraId="1C6B77B5" w14:textId="6D2DD8A5" w:rsidR="00356070" w:rsidRPr="00236A6A" w:rsidRDefault="00356070" w:rsidP="00E472A8">
            <w:pPr>
              <w:cnfStyle w:val="000000100000" w:firstRow="0" w:lastRow="0" w:firstColumn="0" w:lastColumn="0" w:oddVBand="0" w:evenVBand="0" w:oddHBand="1" w:evenHBand="0" w:firstRowFirstColumn="0" w:firstRowLastColumn="0" w:lastRowFirstColumn="0" w:lastRowLastColumn="0"/>
              <w:rPr>
                <w:b/>
              </w:rPr>
            </w:pPr>
            <w:r w:rsidRPr="001A239C">
              <w:rPr>
                <w:b/>
                <w:bCs/>
              </w:rPr>
              <w:t>Obstacle</w:t>
            </w:r>
          </w:p>
        </w:tc>
        <w:tc>
          <w:tcPr>
            <w:tcW w:w="6379" w:type="dxa"/>
            <w:shd w:val="clear" w:color="auto" w:fill="BDDEFF" w:themeFill="text2" w:themeFillTint="33"/>
          </w:tcPr>
          <w:p w14:paraId="61DC2C6D" w14:textId="2DC105B2" w:rsidR="00356070" w:rsidRPr="00236A6A" w:rsidRDefault="00356070" w:rsidP="00E472A8">
            <w:pPr>
              <w:cnfStyle w:val="000000100000" w:firstRow="0" w:lastRow="0" w:firstColumn="0" w:lastColumn="0" w:oddVBand="0" w:evenVBand="0" w:oddHBand="1" w:evenHBand="0" w:firstRowFirstColumn="0" w:firstRowLastColumn="0" w:lastRowFirstColumn="0" w:lastRowLastColumn="0"/>
              <w:rPr>
                <w:b/>
              </w:rPr>
            </w:pPr>
            <w:r w:rsidRPr="001A239C">
              <w:rPr>
                <w:b/>
                <w:bCs/>
              </w:rPr>
              <w:t>How it was overcome</w:t>
            </w:r>
            <w:r w:rsidR="003658FE">
              <w:rPr>
                <w:b/>
                <w:bCs/>
              </w:rPr>
              <w:t xml:space="preserve"> and/or outstanding remediation measures</w:t>
            </w:r>
          </w:p>
        </w:tc>
      </w:tr>
      <w:tr w:rsidR="00356070" w:rsidRPr="007B727F" w14:paraId="30A0A8CB" w14:textId="77777777" w:rsidTr="00622E32">
        <w:trPr>
          <w:trHeight w:val="405"/>
        </w:trPr>
        <w:tc>
          <w:tcPr>
            <w:cnfStyle w:val="001000000000" w:firstRow="0" w:lastRow="0" w:firstColumn="1" w:lastColumn="0" w:oddVBand="0" w:evenVBand="0" w:oddHBand="0" w:evenHBand="0" w:firstRowFirstColumn="0" w:firstRowLastColumn="0" w:lastRowFirstColumn="0" w:lastRowLastColumn="0"/>
            <w:tcW w:w="0" w:type="dxa"/>
            <w:vMerge/>
            <w:shd w:val="clear" w:color="auto" w:fill="BDDEFF" w:themeFill="text2" w:themeFillTint="33"/>
          </w:tcPr>
          <w:p w14:paraId="7FFAFA22" w14:textId="77777777" w:rsidR="00356070" w:rsidRPr="007B727F" w:rsidRDefault="00356070" w:rsidP="00E472A8"/>
        </w:tc>
        <w:tc>
          <w:tcPr>
            <w:tcW w:w="4111" w:type="dxa"/>
          </w:tcPr>
          <w:p w14:paraId="5A5ADC77" w14:textId="77BBA498" w:rsidR="00356070" w:rsidRPr="00236A6A" w:rsidRDefault="00356070" w:rsidP="00E472A8">
            <w:pPr>
              <w:cnfStyle w:val="000000000000" w:firstRow="0" w:lastRow="0" w:firstColumn="0" w:lastColumn="0" w:oddVBand="0" w:evenVBand="0" w:oddHBand="0" w:evenHBand="0" w:firstRowFirstColumn="0" w:firstRowLastColumn="0" w:lastRowFirstColumn="0" w:lastRowLastColumn="0"/>
              <w:rPr>
                <w:i/>
              </w:rPr>
            </w:pPr>
            <w:r w:rsidRPr="001A239C">
              <w:rPr>
                <w:i/>
                <w:iCs/>
              </w:rPr>
              <w:t>[</w:t>
            </w:r>
            <w:r>
              <w:rPr>
                <w:i/>
                <w:iCs/>
              </w:rPr>
              <w:t>Banks</w:t>
            </w:r>
            <w:r w:rsidRPr="001A239C">
              <w:rPr>
                <w:i/>
                <w:iCs/>
              </w:rPr>
              <w:t xml:space="preserve"> should identify the obstacle faced during the test</w:t>
            </w:r>
            <w:r w:rsidR="00074E7D">
              <w:rPr>
                <w:i/>
                <w:iCs/>
              </w:rPr>
              <w:t>.</w:t>
            </w:r>
            <w:r w:rsidRPr="001A239C">
              <w:rPr>
                <w:i/>
                <w:iCs/>
              </w:rPr>
              <w:t>]</w:t>
            </w:r>
          </w:p>
        </w:tc>
        <w:tc>
          <w:tcPr>
            <w:tcW w:w="6379" w:type="dxa"/>
          </w:tcPr>
          <w:p w14:paraId="6AC8B3A5" w14:textId="7B4762B0" w:rsidR="00356070" w:rsidRPr="00236A6A" w:rsidRDefault="00356070" w:rsidP="00E472A8">
            <w:pPr>
              <w:cnfStyle w:val="000000000000" w:firstRow="0" w:lastRow="0" w:firstColumn="0" w:lastColumn="0" w:oddVBand="0" w:evenVBand="0" w:oddHBand="0" w:evenHBand="0" w:firstRowFirstColumn="0" w:firstRowLastColumn="0" w:lastRowFirstColumn="0" w:lastRowLastColumn="0"/>
              <w:rPr>
                <w:i/>
              </w:rPr>
            </w:pPr>
            <w:r w:rsidRPr="6058A18D">
              <w:rPr>
                <w:i/>
                <w:iCs/>
              </w:rPr>
              <w:t>[</w:t>
            </w:r>
            <w:r>
              <w:rPr>
                <w:i/>
                <w:iCs/>
              </w:rPr>
              <w:t>Banks</w:t>
            </w:r>
            <w:r w:rsidRPr="6058A18D">
              <w:rPr>
                <w:i/>
                <w:iCs/>
              </w:rPr>
              <w:t xml:space="preserve"> should identify how the obstacle was overcome, or if </w:t>
            </w:r>
            <w:r w:rsidR="00074E7D">
              <w:rPr>
                <w:i/>
                <w:iCs/>
              </w:rPr>
              <w:t>it</w:t>
            </w:r>
            <w:r w:rsidRPr="6058A18D">
              <w:rPr>
                <w:i/>
                <w:iCs/>
              </w:rPr>
              <w:t xml:space="preserve"> was not overcome</w:t>
            </w:r>
            <w:r w:rsidR="003658FE">
              <w:rPr>
                <w:i/>
                <w:iCs/>
              </w:rPr>
              <w:t>. If the latter is the case, banks should report the observation and briefly describe planned remediation measures if applicable</w:t>
            </w:r>
            <w:r w:rsidRPr="6058A18D">
              <w:rPr>
                <w:i/>
                <w:iCs/>
              </w:rPr>
              <w:t>.]</w:t>
            </w:r>
          </w:p>
        </w:tc>
      </w:tr>
    </w:tbl>
    <w:p w14:paraId="55D7669E" w14:textId="77777777" w:rsidR="00763A06" w:rsidRDefault="00763A06" w:rsidP="00FA5819">
      <w:pPr>
        <w:pStyle w:val="DateRef"/>
      </w:pPr>
      <w:bookmarkStart w:id="12" w:name="_Toc175902967"/>
      <w:bookmarkStart w:id="13" w:name="_Toc188472271"/>
      <w:bookmarkStart w:id="14" w:name="_Toc156828269"/>
      <w:bookmarkStart w:id="15" w:name="_Toc176966747"/>
      <w:bookmarkEnd w:id="12"/>
    </w:p>
    <w:p w14:paraId="7A09F300" w14:textId="77777777" w:rsidR="00BD5802" w:rsidRDefault="00BD5802" w:rsidP="00FA5819">
      <w:bookmarkStart w:id="16" w:name="_Toc176966748"/>
      <w:bookmarkStart w:id="17" w:name="_Toc188472274"/>
      <w:bookmarkStart w:id="18" w:name="_Toc156828270"/>
    </w:p>
    <w:p w14:paraId="71CD64E2" w14:textId="1A5CED57" w:rsidR="00763A06" w:rsidRPr="000B594E" w:rsidRDefault="00763A06" w:rsidP="00FA5819">
      <w:pPr>
        <w:pStyle w:val="Heading1"/>
        <w:keepNext/>
      </w:pPr>
      <w:r w:rsidRPr="00FA5819">
        <w:lastRenderedPageBreak/>
        <w:t>Overall assessment of the testing exercise</w:t>
      </w:r>
      <w:bookmarkEnd w:id="16"/>
      <w:bookmarkEnd w:id="17"/>
    </w:p>
    <w:tbl>
      <w:tblPr>
        <w:tblStyle w:val="ListTable2-Accent5"/>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0490"/>
      </w:tblGrid>
      <w:tr w:rsidR="00763A06" w:rsidRPr="007B727F" w14:paraId="1A863A05" w14:textId="77777777" w:rsidTr="0062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BDDEFF" w:themeFill="text2" w:themeFillTint="33"/>
          </w:tcPr>
          <w:p w14:paraId="6FA4142E" w14:textId="34FE0770" w:rsidR="00763A06" w:rsidRPr="007B727F" w:rsidRDefault="00763A06" w:rsidP="00BC0E11">
            <w:pPr>
              <w:rPr>
                <w:b w:val="0"/>
                <w:bCs w:val="0"/>
              </w:rPr>
            </w:pPr>
            <w:r w:rsidRPr="007B727F">
              <w:t>Overall assessment of the testing exercise</w:t>
            </w:r>
            <w:r w:rsidR="00351504">
              <w:t>:</w:t>
            </w:r>
          </w:p>
        </w:tc>
        <w:tc>
          <w:tcPr>
            <w:tcW w:w="10490" w:type="dxa"/>
          </w:tcPr>
          <w:p w14:paraId="04A72013" w14:textId="4922C42C" w:rsidR="00763A06" w:rsidRPr="00853DA7" w:rsidRDefault="00763A06" w:rsidP="00BC0E11">
            <w:pPr>
              <w:cnfStyle w:val="100000000000" w:firstRow="1" w:lastRow="0" w:firstColumn="0" w:lastColumn="0" w:oddVBand="0" w:evenVBand="0" w:oddHBand="0" w:evenHBand="0" w:firstRowFirstColumn="0" w:firstRowLastColumn="0" w:lastRowFirstColumn="0" w:lastRowLastColumn="0"/>
              <w:rPr>
                <w:b w:val="0"/>
                <w:bCs w:val="0"/>
                <w:i/>
              </w:rPr>
            </w:pPr>
            <w:r w:rsidRPr="00853DA7">
              <w:rPr>
                <w:b w:val="0"/>
                <w:bCs w:val="0"/>
                <w:i/>
              </w:rPr>
              <w:t>[Banks should conduct an overall assessment of the test, highlighting key positive and negative outcomes</w:t>
            </w:r>
            <w:r w:rsidR="00FE6F36">
              <w:rPr>
                <w:b w:val="0"/>
                <w:bCs w:val="0"/>
                <w:i/>
              </w:rPr>
              <w:t>.</w:t>
            </w:r>
            <w:r w:rsidRPr="00853DA7">
              <w:rPr>
                <w:b w:val="0"/>
                <w:bCs w:val="0"/>
                <w:i/>
              </w:rPr>
              <w:t>]</w:t>
            </w:r>
          </w:p>
        </w:tc>
      </w:tr>
    </w:tbl>
    <w:p w14:paraId="21C25A04" w14:textId="77777777" w:rsidR="00BD5802" w:rsidRDefault="00BD5802" w:rsidP="00FA5819">
      <w:bookmarkStart w:id="19" w:name="_Toc176966749"/>
      <w:bookmarkStart w:id="20" w:name="_Toc188472275"/>
      <w:bookmarkEnd w:id="18"/>
    </w:p>
    <w:p w14:paraId="2A6C7F60" w14:textId="2C144C5D" w:rsidR="00763A06" w:rsidRPr="000B594E" w:rsidRDefault="00763A06" w:rsidP="00FA5819">
      <w:pPr>
        <w:pStyle w:val="Heading1"/>
        <w:keepNext/>
      </w:pPr>
      <w:r w:rsidRPr="00FA5819">
        <w:t>Validation/approval process</w:t>
      </w:r>
      <w:bookmarkEnd w:id="19"/>
      <w:bookmarkEnd w:id="20"/>
      <w:r w:rsidRPr="00FA5819">
        <w:t xml:space="preserve"> </w:t>
      </w:r>
    </w:p>
    <w:tbl>
      <w:tblPr>
        <w:tblStyle w:val="ListTable2-Accent5"/>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0490"/>
      </w:tblGrid>
      <w:tr w:rsidR="00763A06" w:rsidRPr="007B727F" w14:paraId="4EB2AE0C" w14:textId="77777777" w:rsidTr="0062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BDDEFF" w:themeFill="text2" w:themeFillTint="33"/>
          </w:tcPr>
          <w:p w14:paraId="1F5F4A23" w14:textId="10701301" w:rsidR="00763A06" w:rsidRPr="007B727F" w:rsidRDefault="00763A06" w:rsidP="00BC0E11">
            <w:r w:rsidRPr="007D3563">
              <w:t xml:space="preserve">Validation/approval process for the outcome report and </w:t>
            </w:r>
            <w:r>
              <w:t>other</w:t>
            </w:r>
            <w:r w:rsidRPr="007D3563">
              <w:t xml:space="preserve"> </w:t>
            </w:r>
            <w:r>
              <w:t>deliverables</w:t>
            </w:r>
            <w:r w:rsidRPr="007D3563">
              <w:t xml:space="preserve"> (if any)</w:t>
            </w:r>
            <w:r w:rsidR="00351504">
              <w:t>:</w:t>
            </w:r>
          </w:p>
        </w:tc>
        <w:tc>
          <w:tcPr>
            <w:tcW w:w="10490" w:type="dxa"/>
          </w:tcPr>
          <w:p w14:paraId="25ABE666" w14:textId="77777777" w:rsidR="00763A06" w:rsidRPr="007B727F" w:rsidRDefault="00763A06" w:rsidP="00BC0E11">
            <w:pPr>
              <w:cnfStyle w:val="100000000000" w:firstRow="1" w:lastRow="0" w:firstColumn="0" w:lastColumn="0" w:oddVBand="0" w:evenVBand="0" w:oddHBand="0" w:evenHBand="0" w:firstRowFirstColumn="0" w:firstRowLastColumn="0" w:lastRowFirstColumn="0" w:lastRowLastColumn="0"/>
              <w:rPr>
                <w:b w:val="0"/>
              </w:rPr>
            </w:pPr>
          </w:p>
        </w:tc>
      </w:tr>
    </w:tbl>
    <w:p w14:paraId="00715B57" w14:textId="77777777" w:rsidR="00920666" w:rsidRPr="000B594E" w:rsidRDefault="00920666" w:rsidP="00920666">
      <w:pPr>
        <w:pStyle w:val="Heading1"/>
        <w:keepNext/>
      </w:pPr>
      <w:r>
        <w:t>A</w:t>
      </w:r>
      <w:r w:rsidRPr="001A239C">
        <w:t xml:space="preserve">ction plan </w:t>
      </w:r>
    </w:p>
    <w:tbl>
      <w:tblPr>
        <w:tblStyle w:val="GridTable2-Accent5"/>
        <w:tblW w:w="13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2039"/>
        <w:gridCol w:w="2746"/>
        <w:gridCol w:w="3504"/>
        <w:gridCol w:w="3504"/>
      </w:tblGrid>
      <w:tr w:rsidR="00920666" w:rsidRPr="007B727F" w14:paraId="4234C769" w14:textId="77777777" w:rsidTr="00622E32">
        <w:trPr>
          <w:cnfStyle w:val="100000000000" w:firstRow="1" w:lastRow="0" w:firstColumn="0" w:lastColumn="0" w:oddVBand="0" w:evenVBand="0" w:oddHBand="0" w:evenHBand="0" w:firstRowFirstColumn="0" w:firstRowLastColumn="0" w:lastRowFirstColumn="0" w:lastRowLastColumn="0"/>
          <w:trHeight w:val="999"/>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shd w:val="clear" w:color="auto" w:fill="BDDEFF" w:themeFill="text2" w:themeFillTint="33"/>
          </w:tcPr>
          <w:p w14:paraId="17C9C903" w14:textId="77777777" w:rsidR="00920666" w:rsidRPr="007B727F" w:rsidRDefault="00920666" w:rsidP="00A86807">
            <w:pPr>
              <w:rPr>
                <w:bCs w:val="0"/>
              </w:rPr>
            </w:pPr>
            <w:r w:rsidRPr="007B727F">
              <w:t>Testing area</w:t>
            </w:r>
          </w:p>
        </w:tc>
        <w:tc>
          <w:tcPr>
            <w:tcW w:w="0" w:type="dxa"/>
            <w:tcBorders>
              <w:top w:val="none" w:sz="0" w:space="0" w:color="auto"/>
              <w:left w:val="none" w:sz="0" w:space="0" w:color="auto"/>
              <w:bottom w:val="none" w:sz="0" w:space="0" w:color="auto"/>
              <w:right w:val="none" w:sz="0" w:space="0" w:color="auto"/>
            </w:tcBorders>
            <w:shd w:val="clear" w:color="auto" w:fill="BDDEFF" w:themeFill="text2" w:themeFillTint="33"/>
          </w:tcPr>
          <w:p w14:paraId="3331389B" w14:textId="77777777" w:rsidR="00920666" w:rsidRPr="007B727F" w:rsidRDefault="00920666" w:rsidP="00A86807">
            <w:pPr>
              <w:cnfStyle w:val="100000000000" w:firstRow="1" w:lastRow="0" w:firstColumn="0" w:lastColumn="0" w:oddVBand="0" w:evenVBand="0" w:oddHBand="0" w:evenHBand="0" w:firstRowFirstColumn="0" w:firstRowLastColumn="0" w:lastRowFirstColumn="0" w:lastRowLastColumn="0"/>
              <w:rPr>
                <w:bCs w:val="0"/>
              </w:rPr>
            </w:pPr>
            <w:r w:rsidRPr="007B727F">
              <w:t>Testing sub-area</w:t>
            </w:r>
          </w:p>
        </w:tc>
        <w:tc>
          <w:tcPr>
            <w:tcW w:w="0" w:type="dxa"/>
            <w:tcBorders>
              <w:top w:val="none" w:sz="0" w:space="0" w:color="auto"/>
              <w:left w:val="none" w:sz="0" w:space="0" w:color="auto"/>
              <w:bottom w:val="none" w:sz="0" w:space="0" w:color="auto"/>
              <w:right w:val="none" w:sz="0" w:space="0" w:color="auto"/>
            </w:tcBorders>
            <w:shd w:val="clear" w:color="auto" w:fill="BDDEFF" w:themeFill="text2" w:themeFillTint="33"/>
          </w:tcPr>
          <w:p w14:paraId="0255605A" w14:textId="77777777" w:rsidR="00920666" w:rsidRPr="007B727F" w:rsidRDefault="00920666" w:rsidP="00A86807">
            <w:pPr>
              <w:cnfStyle w:val="100000000000" w:firstRow="1" w:lastRow="0" w:firstColumn="0" w:lastColumn="0" w:oddVBand="0" w:evenVBand="0" w:oddHBand="0" w:evenHBand="0" w:firstRowFirstColumn="0" w:firstRowLastColumn="0" w:lastRowFirstColumn="0" w:lastRowLastColumn="0"/>
              <w:rPr>
                <w:bCs w:val="0"/>
              </w:rPr>
            </w:pPr>
            <w:r w:rsidRPr="007B727F">
              <w:t>Session</w:t>
            </w:r>
            <w:r>
              <w:t>(s)</w:t>
            </w:r>
          </w:p>
        </w:tc>
        <w:tc>
          <w:tcPr>
            <w:tcW w:w="0" w:type="dxa"/>
            <w:tcBorders>
              <w:top w:val="none" w:sz="0" w:space="0" w:color="auto"/>
              <w:left w:val="none" w:sz="0" w:space="0" w:color="auto"/>
              <w:bottom w:val="none" w:sz="0" w:space="0" w:color="auto"/>
              <w:right w:val="none" w:sz="0" w:space="0" w:color="auto"/>
            </w:tcBorders>
            <w:shd w:val="clear" w:color="auto" w:fill="BDDEFF" w:themeFill="text2" w:themeFillTint="33"/>
          </w:tcPr>
          <w:p w14:paraId="205E03D9" w14:textId="77777777" w:rsidR="00920666" w:rsidRPr="007B727F" w:rsidRDefault="00920666" w:rsidP="00A86807">
            <w:pPr>
              <w:cnfStyle w:val="100000000000" w:firstRow="1" w:lastRow="0" w:firstColumn="0" w:lastColumn="0" w:oddVBand="0" w:evenVBand="0" w:oddHBand="0" w:evenHBand="0" w:firstRowFirstColumn="0" w:firstRowLastColumn="0" w:lastRowFirstColumn="0" w:lastRowLastColumn="0"/>
              <w:rPr>
                <w:bCs w:val="0"/>
              </w:rPr>
            </w:pPr>
            <w:r>
              <w:t>Related observation(s)</w:t>
            </w:r>
          </w:p>
        </w:tc>
        <w:tc>
          <w:tcPr>
            <w:tcW w:w="0" w:type="dxa"/>
            <w:tcBorders>
              <w:top w:val="none" w:sz="0" w:space="0" w:color="auto"/>
              <w:left w:val="none" w:sz="0" w:space="0" w:color="auto"/>
              <w:bottom w:val="none" w:sz="0" w:space="0" w:color="auto"/>
            </w:tcBorders>
            <w:shd w:val="clear" w:color="auto" w:fill="BDDEFF" w:themeFill="text2" w:themeFillTint="33"/>
          </w:tcPr>
          <w:p w14:paraId="51C65EEF" w14:textId="77777777" w:rsidR="00920666" w:rsidRPr="007B727F" w:rsidRDefault="00920666" w:rsidP="00A86807">
            <w:pPr>
              <w:cnfStyle w:val="100000000000" w:firstRow="1" w:lastRow="0" w:firstColumn="0" w:lastColumn="0" w:oddVBand="0" w:evenVBand="0" w:oddHBand="0" w:evenHBand="0" w:firstRowFirstColumn="0" w:firstRowLastColumn="0" w:lastRowFirstColumn="0" w:lastRowLastColumn="0"/>
              <w:rPr>
                <w:bCs w:val="0"/>
              </w:rPr>
            </w:pPr>
            <w:r w:rsidRPr="007B727F">
              <w:t xml:space="preserve">Action plan to address </w:t>
            </w:r>
            <w:r>
              <w:t>observation(s)</w:t>
            </w:r>
          </w:p>
        </w:tc>
      </w:tr>
      <w:tr w:rsidR="00920666" w:rsidRPr="007B727F" w14:paraId="6B6E0485" w14:textId="77777777" w:rsidTr="00A86807">
        <w:trPr>
          <w:cnfStyle w:val="000000100000" w:firstRow="0" w:lastRow="0" w:firstColumn="0" w:lastColumn="0" w:oddVBand="0" w:evenVBand="0" w:oddHBand="1" w:evenHBand="0" w:firstRowFirstColumn="0" w:firstRowLastColumn="0" w:lastRowFirstColumn="0" w:lastRowLastColumn="0"/>
          <w:trHeight w:val="2012"/>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7DD2DB5C" w14:textId="55CCA021" w:rsidR="00920666" w:rsidRPr="000B594E" w:rsidRDefault="00920666" w:rsidP="00A86807">
            <w:r w:rsidRPr="6058A18D">
              <w:rPr>
                <w:b w:val="0"/>
                <w:bCs w:val="0"/>
                <w:i/>
                <w:iCs/>
              </w:rPr>
              <w:t>[</w:t>
            </w:r>
            <w:r>
              <w:rPr>
                <w:b w:val="0"/>
                <w:bCs w:val="0"/>
                <w:i/>
                <w:iCs/>
              </w:rPr>
              <w:t>Banks</w:t>
            </w:r>
            <w:r w:rsidRPr="6058A18D">
              <w:rPr>
                <w:b w:val="0"/>
                <w:bCs w:val="0"/>
                <w:i/>
                <w:iCs/>
              </w:rPr>
              <w:t xml:space="preserve"> should identify the testing area</w:t>
            </w:r>
            <w:r w:rsidR="00FE6F36">
              <w:rPr>
                <w:b w:val="0"/>
                <w:bCs w:val="0"/>
                <w:i/>
                <w:iCs/>
              </w:rPr>
              <w:t>.</w:t>
            </w:r>
            <w:r w:rsidRPr="6058A18D">
              <w:rPr>
                <w:b w:val="0"/>
                <w:bCs w:val="0"/>
                <w:i/>
                <w:iCs/>
              </w:rPr>
              <w:t>]</w:t>
            </w:r>
          </w:p>
        </w:tc>
        <w:tc>
          <w:tcPr>
            <w:tcW w:w="0" w:type="dxa"/>
            <w:shd w:val="clear" w:color="auto" w:fill="FFFFFF" w:themeFill="background1"/>
          </w:tcPr>
          <w:p w14:paraId="1D365EEC" w14:textId="2627EB28" w:rsidR="00920666" w:rsidRPr="00236A6A" w:rsidRDefault="00920666" w:rsidP="00A86807">
            <w:pPr>
              <w:cnfStyle w:val="000000100000" w:firstRow="0" w:lastRow="0" w:firstColumn="0" w:lastColumn="0" w:oddVBand="0" w:evenVBand="0" w:oddHBand="1" w:evenHBand="0" w:firstRowFirstColumn="0" w:firstRowLastColumn="0" w:lastRowFirstColumn="0" w:lastRowLastColumn="0"/>
              <w:rPr>
                <w:i/>
              </w:rPr>
            </w:pPr>
            <w:r w:rsidRPr="001A239C">
              <w:rPr>
                <w:i/>
                <w:iCs/>
              </w:rPr>
              <w:t>[</w:t>
            </w:r>
            <w:r>
              <w:rPr>
                <w:i/>
                <w:iCs/>
              </w:rPr>
              <w:t>Banks</w:t>
            </w:r>
            <w:r w:rsidRPr="001A239C">
              <w:rPr>
                <w:i/>
                <w:iCs/>
              </w:rPr>
              <w:t xml:space="preserve"> should identify the testing sub-area</w:t>
            </w:r>
            <w:r w:rsidR="00FE6F36">
              <w:rPr>
                <w:i/>
                <w:iCs/>
              </w:rPr>
              <w:t>.</w:t>
            </w:r>
            <w:r w:rsidRPr="001A239C">
              <w:rPr>
                <w:i/>
                <w:iCs/>
              </w:rPr>
              <w:t>]</w:t>
            </w:r>
          </w:p>
        </w:tc>
        <w:tc>
          <w:tcPr>
            <w:tcW w:w="0" w:type="dxa"/>
            <w:shd w:val="clear" w:color="auto" w:fill="FFFFFF" w:themeFill="background1"/>
          </w:tcPr>
          <w:p w14:paraId="49E43902" w14:textId="647516D9" w:rsidR="00920666" w:rsidRPr="000B594E" w:rsidRDefault="00920666" w:rsidP="00A86807">
            <w:pPr>
              <w:cnfStyle w:val="000000100000" w:firstRow="0" w:lastRow="0" w:firstColumn="0" w:lastColumn="0" w:oddVBand="0" w:evenVBand="0" w:oddHBand="1" w:evenHBand="0" w:firstRowFirstColumn="0" w:firstRowLastColumn="0" w:lastRowFirstColumn="0" w:lastRowLastColumn="0"/>
            </w:pPr>
            <w:r w:rsidRPr="001A239C">
              <w:rPr>
                <w:i/>
                <w:iCs/>
              </w:rPr>
              <w:t>[</w:t>
            </w:r>
            <w:r>
              <w:rPr>
                <w:i/>
                <w:iCs/>
              </w:rPr>
              <w:t>Banks</w:t>
            </w:r>
            <w:r w:rsidRPr="001A239C">
              <w:rPr>
                <w:i/>
                <w:iCs/>
              </w:rPr>
              <w:t xml:space="preserve"> should identify the session(s) when the </w:t>
            </w:r>
            <w:r w:rsidR="009F2748">
              <w:rPr>
                <w:i/>
                <w:iCs/>
              </w:rPr>
              <w:t xml:space="preserve">observation </w:t>
            </w:r>
            <w:r w:rsidR="009F2748" w:rsidRPr="001A239C">
              <w:rPr>
                <w:i/>
                <w:iCs/>
              </w:rPr>
              <w:t>occurred</w:t>
            </w:r>
            <w:r w:rsidR="00FE6F36">
              <w:rPr>
                <w:i/>
                <w:iCs/>
              </w:rPr>
              <w:t>.</w:t>
            </w:r>
            <w:r w:rsidRPr="001A239C">
              <w:rPr>
                <w:i/>
                <w:iCs/>
              </w:rPr>
              <w:t>]</w:t>
            </w:r>
          </w:p>
        </w:tc>
        <w:tc>
          <w:tcPr>
            <w:tcW w:w="0" w:type="dxa"/>
            <w:shd w:val="clear" w:color="auto" w:fill="FFFFFF" w:themeFill="background1"/>
          </w:tcPr>
          <w:p w14:paraId="536BE12F" w14:textId="7AFA814F" w:rsidR="00920666" w:rsidRPr="000B594E" w:rsidRDefault="00920666" w:rsidP="00A86807">
            <w:pPr>
              <w:cnfStyle w:val="000000100000" w:firstRow="0" w:lastRow="0" w:firstColumn="0" w:lastColumn="0" w:oddVBand="0" w:evenVBand="0" w:oddHBand="1" w:evenHBand="0" w:firstRowFirstColumn="0" w:firstRowLastColumn="0" w:lastRowFirstColumn="0" w:lastRowLastColumn="0"/>
            </w:pPr>
            <w:r w:rsidRPr="001A239C">
              <w:rPr>
                <w:i/>
                <w:iCs/>
              </w:rPr>
              <w:t>[</w:t>
            </w:r>
            <w:r>
              <w:rPr>
                <w:i/>
                <w:iCs/>
              </w:rPr>
              <w:t>Banks</w:t>
            </w:r>
            <w:r w:rsidRPr="001A239C">
              <w:rPr>
                <w:i/>
                <w:iCs/>
              </w:rPr>
              <w:t xml:space="preserve"> should describe the</w:t>
            </w:r>
            <w:r>
              <w:rPr>
                <w:i/>
                <w:iCs/>
              </w:rPr>
              <w:t>ir</w:t>
            </w:r>
            <w:r w:rsidRPr="001A239C">
              <w:rPr>
                <w:i/>
                <w:iCs/>
              </w:rPr>
              <w:t xml:space="preserve"> </w:t>
            </w:r>
            <w:r>
              <w:rPr>
                <w:i/>
                <w:iCs/>
              </w:rPr>
              <w:t>observations</w:t>
            </w:r>
            <w:r w:rsidRPr="001A239C">
              <w:rPr>
                <w:i/>
                <w:iCs/>
              </w:rPr>
              <w:t xml:space="preserve"> in detail</w:t>
            </w:r>
            <w:r w:rsidR="00FE6F36">
              <w:rPr>
                <w:i/>
                <w:iCs/>
              </w:rPr>
              <w:t>.</w:t>
            </w:r>
            <w:r w:rsidRPr="001A239C">
              <w:rPr>
                <w:i/>
                <w:iCs/>
              </w:rPr>
              <w:t>]</w:t>
            </w:r>
          </w:p>
        </w:tc>
        <w:tc>
          <w:tcPr>
            <w:tcW w:w="0" w:type="dxa"/>
            <w:shd w:val="clear" w:color="auto" w:fill="FFFFFF" w:themeFill="background1"/>
          </w:tcPr>
          <w:p w14:paraId="6CAAB1A5" w14:textId="773FA4EA" w:rsidR="00920666" w:rsidRPr="000B594E" w:rsidRDefault="00920666" w:rsidP="00A86807">
            <w:pPr>
              <w:cnfStyle w:val="000000100000" w:firstRow="0" w:lastRow="0" w:firstColumn="0" w:lastColumn="0" w:oddVBand="0" w:evenVBand="0" w:oddHBand="1" w:evenHBand="0" w:firstRowFirstColumn="0" w:firstRowLastColumn="0" w:lastRowFirstColumn="0" w:lastRowLastColumn="0"/>
            </w:pPr>
            <w:r w:rsidRPr="001A239C">
              <w:rPr>
                <w:i/>
                <w:iCs/>
              </w:rPr>
              <w:t>[</w:t>
            </w:r>
            <w:r>
              <w:rPr>
                <w:i/>
                <w:iCs/>
              </w:rPr>
              <w:t>Banks</w:t>
            </w:r>
            <w:r w:rsidRPr="001A239C">
              <w:rPr>
                <w:i/>
                <w:iCs/>
              </w:rPr>
              <w:t xml:space="preserve"> should outline the action plan to address </w:t>
            </w:r>
            <w:r>
              <w:rPr>
                <w:i/>
                <w:iCs/>
              </w:rPr>
              <w:t>any observations that need follow up</w:t>
            </w:r>
            <w:r w:rsidRPr="001A239C">
              <w:rPr>
                <w:i/>
                <w:iCs/>
              </w:rPr>
              <w:t>, including timelines and milestones</w:t>
            </w:r>
            <w:r w:rsidR="00FE6F36">
              <w:rPr>
                <w:i/>
                <w:iCs/>
              </w:rPr>
              <w:t>.</w:t>
            </w:r>
            <w:r w:rsidRPr="001A239C">
              <w:rPr>
                <w:i/>
                <w:iCs/>
              </w:rPr>
              <w:t>]</w:t>
            </w:r>
          </w:p>
        </w:tc>
      </w:tr>
    </w:tbl>
    <w:p w14:paraId="4E802020" w14:textId="77777777" w:rsidR="00763A06" w:rsidRDefault="00763A06">
      <w:pPr>
        <w:spacing w:before="0" w:after="160" w:line="259" w:lineRule="auto"/>
        <w:jc w:val="left"/>
        <w:rPr>
          <w:bCs/>
          <w:color w:val="005EB8" w:themeColor="accent3"/>
          <w:szCs w:val="20"/>
        </w:rPr>
      </w:pPr>
      <w:r>
        <w:rPr>
          <w:color w:val="005EB8" w:themeColor="accent3"/>
          <w:szCs w:val="20"/>
        </w:rPr>
        <w:br w:type="page"/>
      </w:r>
    </w:p>
    <w:p w14:paraId="61301E03" w14:textId="333EF6D5" w:rsidR="00356070" w:rsidRPr="000B594E" w:rsidRDefault="00763A06" w:rsidP="00FA5819">
      <w:pPr>
        <w:pStyle w:val="Heading1"/>
      </w:pPr>
      <w:r>
        <w:lastRenderedPageBreak/>
        <w:t xml:space="preserve">Annex I – </w:t>
      </w:r>
      <w:r>
        <w:rPr>
          <w:color w:val="005EB8" w:themeColor="accent3"/>
          <w:szCs w:val="20"/>
        </w:rPr>
        <w:t>Bail-in specific fields</w:t>
      </w:r>
      <w:r w:rsidR="001A0492">
        <w:rPr>
          <w:color w:val="005EB8" w:themeColor="accent3"/>
          <w:szCs w:val="20"/>
        </w:rPr>
        <w:t xml:space="preserve"> </w:t>
      </w:r>
      <w:r w:rsidR="001A0492" w:rsidRPr="001A0492">
        <w:rPr>
          <w:b w:val="0"/>
          <w:bCs w:val="0"/>
          <w:i/>
          <w:iCs/>
          <w:color w:val="005EB8" w:themeColor="accent3"/>
          <w:szCs w:val="20"/>
        </w:rPr>
        <w:t>(to be deleted when not relevant)</w:t>
      </w:r>
      <w:bookmarkEnd w:id="13"/>
    </w:p>
    <w:tbl>
      <w:tblPr>
        <w:tblStyle w:val="ListTable2-Accent4"/>
        <w:tblW w:w="13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539"/>
        <w:gridCol w:w="10343"/>
      </w:tblGrid>
      <w:tr w:rsidR="00356070" w:rsidRPr="00976D91" w14:paraId="6A43044D" w14:textId="77777777" w:rsidTr="00622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BDDEFF" w:themeFill="text2" w:themeFillTint="33"/>
            <w:hideMark/>
          </w:tcPr>
          <w:p w14:paraId="0DFC4F54" w14:textId="77777777" w:rsidR="00356070" w:rsidRPr="00C333AC" w:rsidRDefault="00356070" w:rsidP="00E472A8">
            <w:pPr>
              <w:rPr>
                <w:bCs w:val="0"/>
              </w:rPr>
            </w:pPr>
            <w:r w:rsidRPr="00C333AC">
              <w:t>Time required to produce and provide the relevant data (hours)</w:t>
            </w:r>
            <w:r w:rsidRPr="6058A18D">
              <w:t>:</w:t>
            </w:r>
          </w:p>
        </w:tc>
        <w:tc>
          <w:tcPr>
            <w:tcW w:w="10343" w:type="dxa"/>
            <w:shd w:val="clear" w:color="auto" w:fill="BDDEFF" w:themeFill="text2" w:themeFillTint="33"/>
            <w:hideMark/>
          </w:tcPr>
          <w:p w14:paraId="237C151F" w14:textId="7CA1E7C7" w:rsidR="00356070" w:rsidRPr="000B594E" w:rsidRDefault="00356070" w:rsidP="00E472A8">
            <w:pPr>
              <w:cnfStyle w:val="000000100000" w:firstRow="0" w:lastRow="0" w:firstColumn="0" w:lastColumn="0" w:oddVBand="0" w:evenVBand="0" w:oddHBand="1" w:evenHBand="0" w:firstRowFirstColumn="0" w:firstRowLastColumn="0" w:lastRowFirstColumn="0" w:lastRowLastColumn="0"/>
            </w:pPr>
            <w:r w:rsidRPr="001A239C">
              <w:rPr>
                <w:i/>
                <w:iCs/>
              </w:rPr>
              <w:t>[</w:t>
            </w:r>
            <w:r>
              <w:rPr>
                <w:i/>
                <w:iCs/>
              </w:rPr>
              <w:t>Banks</w:t>
            </w:r>
            <w:r w:rsidRPr="001A239C">
              <w:rPr>
                <w:i/>
                <w:iCs/>
              </w:rPr>
              <w:t xml:space="preserve"> should reflect the time needed to provide and produce the data, in hours. The timeline for the two phase</w:t>
            </w:r>
            <w:r w:rsidR="00077901">
              <w:rPr>
                <w:i/>
                <w:iCs/>
              </w:rPr>
              <w:t>s</w:t>
            </w:r>
            <w:r w:rsidRPr="001A239C">
              <w:rPr>
                <w:i/>
                <w:iCs/>
              </w:rPr>
              <w:t xml:space="preserve"> (production and provision) should be provided separately</w:t>
            </w:r>
            <w:r w:rsidR="00077901">
              <w:rPr>
                <w:i/>
                <w:iCs/>
              </w:rPr>
              <w:t>.</w:t>
            </w:r>
            <w:r w:rsidRPr="001A239C">
              <w:rPr>
                <w:i/>
                <w:iCs/>
              </w:rPr>
              <w:t>]</w:t>
            </w:r>
          </w:p>
        </w:tc>
      </w:tr>
      <w:tr w:rsidR="00356070" w:rsidRPr="00976D91" w14:paraId="4066F0E2" w14:textId="77777777" w:rsidTr="00FA5819">
        <w:tc>
          <w:tcPr>
            <w:cnfStyle w:val="001000000000" w:firstRow="0" w:lastRow="0" w:firstColumn="1" w:lastColumn="0" w:oddVBand="0" w:evenVBand="0" w:oddHBand="0" w:evenHBand="0" w:firstRowFirstColumn="0" w:firstRowLastColumn="0" w:lastRowFirstColumn="0" w:lastRowLastColumn="0"/>
            <w:tcW w:w="3539" w:type="dxa"/>
            <w:hideMark/>
          </w:tcPr>
          <w:p w14:paraId="2808E719" w14:textId="6A45C895" w:rsidR="00356070" w:rsidRPr="00F16BCD" w:rsidRDefault="00356070" w:rsidP="00E472A8">
            <w:pPr>
              <w:rPr>
                <w:bCs w:val="0"/>
              </w:rPr>
            </w:pPr>
            <w:r w:rsidRPr="00F16BCD">
              <w:t>Assessment of compliance with the validation rules included in the MBDT guidance</w:t>
            </w:r>
            <w:r w:rsidRPr="6058A18D">
              <w:t xml:space="preserve">: </w:t>
            </w:r>
          </w:p>
        </w:tc>
        <w:tc>
          <w:tcPr>
            <w:tcW w:w="10343" w:type="dxa"/>
            <w:hideMark/>
          </w:tcPr>
          <w:p w14:paraId="78967DD9" w14:textId="122CEFBF" w:rsidR="00356070" w:rsidRPr="000B594E" w:rsidRDefault="00356070" w:rsidP="00E472A8">
            <w:pPr>
              <w:cnfStyle w:val="000000000000" w:firstRow="0" w:lastRow="0" w:firstColumn="0" w:lastColumn="0" w:oddVBand="0" w:evenVBand="0" w:oddHBand="0" w:evenHBand="0" w:firstRowFirstColumn="0" w:firstRowLastColumn="0" w:lastRowFirstColumn="0" w:lastRowLastColumn="0"/>
            </w:pPr>
            <w:r w:rsidRPr="001A239C">
              <w:rPr>
                <w:i/>
                <w:iCs/>
              </w:rPr>
              <w:t xml:space="preserve">[Annex IV of the MBDT guidance document includes a list of validation rules to ensure basic data quality of bail-in data produced by </w:t>
            </w:r>
            <w:r>
              <w:rPr>
                <w:i/>
                <w:iCs/>
              </w:rPr>
              <w:t>banks</w:t>
            </w:r>
            <w:r w:rsidRPr="001A239C">
              <w:rPr>
                <w:i/>
                <w:iCs/>
              </w:rPr>
              <w:t xml:space="preserve">. </w:t>
            </w:r>
            <w:r>
              <w:rPr>
                <w:i/>
                <w:iCs/>
              </w:rPr>
              <w:t>Banks</w:t>
            </w:r>
            <w:r w:rsidRPr="001A239C">
              <w:rPr>
                <w:i/>
                <w:iCs/>
              </w:rPr>
              <w:t xml:space="preserve"> should verify compliance with such rules and include in the outcome report the evidence of the results obtained (including errors identified during the test) and any justification of the errors identified. The justification is requested for breaches stemming from the rules identified as warning in the MBDT guidance, while</w:t>
            </w:r>
            <w:r w:rsidR="00077901">
              <w:rPr>
                <w:i/>
                <w:iCs/>
              </w:rPr>
              <w:t>,</w:t>
            </w:r>
            <w:r w:rsidRPr="001A239C">
              <w:rPr>
                <w:i/>
                <w:iCs/>
              </w:rPr>
              <w:t xml:space="preserve"> in principle, no deviation should be allowed for blocking errors</w:t>
            </w:r>
            <w:r w:rsidR="00077901">
              <w:rPr>
                <w:i/>
                <w:iCs/>
              </w:rPr>
              <w:t>.</w:t>
            </w:r>
            <w:r w:rsidRPr="001A239C">
              <w:rPr>
                <w:i/>
                <w:iCs/>
              </w:rPr>
              <w:t>]</w:t>
            </w:r>
          </w:p>
        </w:tc>
      </w:tr>
      <w:tr w:rsidR="00356070" w:rsidRPr="00976D91" w14:paraId="6AD906E1" w14:textId="77777777" w:rsidTr="00622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BDDEFF" w:themeFill="text2" w:themeFillTint="33"/>
            <w:hideMark/>
          </w:tcPr>
          <w:p w14:paraId="4833DC1A" w14:textId="60F63047" w:rsidR="00356070" w:rsidRPr="00853DA7" w:rsidRDefault="00356070" w:rsidP="00E472A8">
            <w:pPr>
              <w:rPr>
                <w:b w:val="0"/>
                <w:szCs w:val="20"/>
              </w:rPr>
            </w:pPr>
            <w:r w:rsidRPr="00853DA7">
              <w:rPr>
                <w:szCs w:val="20"/>
                <w:lang w:val="en-US"/>
              </w:rPr>
              <w:t>Description of any additional quality checks performed by the bank on top of the validation rules included in the MBDT guidance</w:t>
            </w:r>
            <w:r w:rsidR="00B5389F">
              <w:rPr>
                <w:szCs w:val="20"/>
                <w:lang w:val="en-US"/>
              </w:rPr>
              <w:t>:</w:t>
            </w:r>
            <w:r w:rsidRPr="00853DA7">
              <w:rPr>
                <w:szCs w:val="20"/>
                <w:lang w:val="en-US"/>
              </w:rPr>
              <w:t xml:space="preserve"> </w:t>
            </w:r>
          </w:p>
        </w:tc>
        <w:tc>
          <w:tcPr>
            <w:tcW w:w="10343" w:type="dxa"/>
            <w:shd w:val="clear" w:color="auto" w:fill="BDDEFF" w:themeFill="text2" w:themeFillTint="33"/>
            <w:hideMark/>
          </w:tcPr>
          <w:p w14:paraId="088FAEA9" w14:textId="64272D19" w:rsidR="00356070" w:rsidRPr="00853DA7" w:rsidRDefault="00356070" w:rsidP="00E472A8">
            <w:pPr>
              <w:cnfStyle w:val="000000100000" w:firstRow="0" w:lastRow="0" w:firstColumn="0" w:lastColumn="0" w:oddVBand="0" w:evenVBand="0" w:oddHBand="1" w:evenHBand="0" w:firstRowFirstColumn="0" w:firstRowLastColumn="0" w:lastRowFirstColumn="0" w:lastRowLastColumn="0"/>
              <w:rPr>
                <w:i/>
                <w:szCs w:val="20"/>
              </w:rPr>
            </w:pPr>
            <w:r w:rsidRPr="00853DA7">
              <w:rPr>
                <w:i/>
                <w:iCs/>
                <w:szCs w:val="20"/>
              </w:rPr>
              <w:t xml:space="preserve">[The report should explain the checks performed and the outcome of the data quality assessment in </w:t>
            </w:r>
            <w:r w:rsidR="00077901">
              <w:rPr>
                <w:i/>
                <w:iCs/>
                <w:szCs w:val="20"/>
              </w:rPr>
              <w:t xml:space="preserve">a </w:t>
            </w:r>
            <w:r w:rsidRPr="00853DA7">
              <w:rPr>
                <w:i/>
                <w:iCs/>
                <w:szCs w:val="20"/>
              </w:rPr>
              <w:t xml:space="preserve">consistent </w:t>
            </w:r>
            <w:r w:rsidR="00077901">
              <w:rPr>
                <w:i/>
                <w:iCs/>
                <w:szCs w:val="20"/>
              </w:rPr>
              <w:t>manner</w:t>
            </w:r>
            <w:r w:rsidRPr="00853DA7">
              <w:rPr>
                <w:i/>
                <w:iCs/>
                <w:szCs w:val="20"/>
              </w:rPr>
              <w:t>, to allow comparison with potential future exercise</w:t>
            </w:r>
            <w:r w:rsidR="00077901">
              <w:rPr>
                <w:i/>
                <w:iCs/>
                <w:szCs w:val="20"/>
              </w:rPr>
              <w:t>s</w:t>
            </w:r>
            <w:r w:rsidRPr="00853DA7">
              <w:rPr>
                <w:i/>
                <w:iCs/>
                <w:szCs w:val="20"/>
              </w:rPr>
              <w:t xml:space="preserve"> and </w:t>
            </w:r>
            <w:r w:rsidR="00077901">
              <w:rPr>
                <w:i/>
                <w:iCs/>
                <w:szCs w:val="20"/>
              </w:rPr>
              <w:t xml:space="preserve">to </w:t>
            </w:r>
            <w:r w:rsidRPr="00853DA7">
              <w:rPr>
                <w:i/>
                <w:iCs/>
                <w:szCs w:val="20"/>
              </w:rPr>
              <w:t xml:space="preserve">keep track of the progress made by the institution in terms of data quality. </w:t>
            </w:r>
          </w:p>
          <w:p w14:paraId="0B2C3B60" w14:textId="4DFA136A" w:rsidR="00356070" w:rsidRPr="00853DA7" w:rsidRDefault="00356070" w:rsidP="00E472A8">
            <w:pPr>
              <w:cnfStyle w:val="000000100000" w:firstRow="0" w:lastRow="0" w:firstColumn="0" w:lastColumn="0" w:oddVBand="0" w:evenVBand="0" w:oddHBand="1" w:evenHBand="0" w:firstRowFirstColumn="0" w:firstRowLastColumn="0" w:lastRowFirstColumn="0" w:lastRowLastColumn="0"/>
              <w:rPr>
                <w:b/>
                <w:i/>
                <w:szCs w:val="20"/>
                <w:lang w:val="en-US"/>
              </w:rPr>
            </w:pPr>
            <w:r w:rsidRPr="00853DA7">
              <w:rPr>
                <w:i/>
                <w:iCs/>
                <w:szCs w:val="20"/>
                <w:lang w:val="en-US"/>
              </w:rPr>
              <w:t xml:space="preserve">The description should be grouped </w:t>
            </w:r>
            <w:r w:rsidR="00077901">
              <w:rPr>
                <w:i/>
                <w:iCs/>
                <w:szCs w:val="20"/>
                <w:lang w:val="en-US"/>
              </w:rPr>
              <w:t>in</w:t>
            </w:r>
            <w:r w:rsidRPr="00853DA7">
              <w:rPr>
                <w:i/>
                <w:iCs/>
                <w:szCs w:val="20"/>
                <w:lang w:val="en-US"/>
              </w:rPr>
              <w:t xml:space="preserve"> the following categories, when applicable: </w:t>
            </w:r>
          </w:p>
          <w:p w14:paraId="3AEE8B45" w14:textId="77777777" w:rsidR="00356070" w:rsidRPr="00853DA7" w:rsidRDefault="00356070" w:rsidP="00356070">
            <w:pPr>
              <w:pStyle w:val="ListParagraph"/>
              <w:numPr>
                <w:ilvl w:val="0"/>
                <w:numId w:val="33"/>
              </w:numPr>
              <w:spacing w:after="100" w:line="360" w:lineRule="auto"/>
              <w:contextualSpacing w:val="0"/>
              <w:cnfStyle w:val="000000100000" w:firstRow="0" w:lastRow="0" w:firstColumn="0" w:lastColumn="0" w:oddVBand="0" w:evenVBand="0" w:oddHBand="1" w:evenHBand="0" w:firstRowFirstColumn="0" w:firstRowLastColumn="0" w:lastRowFirstColumn="0" w:lastRowLastColumn="0"/>
              <w:rPr>
                <w:i/>
                <w:szCs w:val="20"/>
              </w:rPr>
            </w:pPr>
            <w:r w:rsidRPr="00853DA7">
              <w:rPr>
                <w:i/>
                <w:iCs/>
                <w:szCs w:val="20"/>
              </w:rPr>
              <w:t xml:space="preserve">Additional integrity checks; </w:t>
            </w:r>
          </w:p>
          <w:p w14:paraId="6C61B526" w14:textId="77777777" w:rsidR="00356070" w:rsidRPr="00853DA7" w:rsidRDefault="00356070" w:rsidP="00356070">
            <w:pPr>
              <w:pStyle w:val="ListParagraph"/>
              <w:numPr>
                <w:ilvl w:val="0"/>
                <w:numId w:val="33"/>
              </w:numPr>
              <w:spacing w:after="100" w:line="360" w:lineRule="auto"/>
              <w:contextualSpacing w:val="0"/>
              <w:cnfStyle w:val="000000100000" w:firstRow="0" w:lastRow="0" w:firstColumn="0" w:lastColumn="0" w:oddVBand="0" w:evenVBand="0" w:oddHBand="1" w:evenHBand="0" w:firstRowFirstColumn="0" w:firstRowLastColumn="0" w:lastRowFirstColumn="0" w:lastRowLastColumn="0"/>
              <w:rPr>
                <w:i/>
                <w:szCs w:val="20"/>
              </w:rPr>
            </w:pPr>
            <w:r w:rsidRPr="00853DA7">
              <w:rPr>
                <w:i/>
                <w:iCs/>
                <w:szCs w:val="20"/>
              </w:rPr>
              <w:t>Additional internal consistency checks;</w:t>
            </w:r>
          </w:p>
          <w:p w14:paraId="7B6F5FE6" w14:textId="0DC7A29A" w:rsidR="00356070" w:rsidRPr="00853DA7" w:rsidRDefault="00356070" w:rsidP="00356070">
            <w:pPr>
              <w:pStyle w:val="ListParagraph"/>
              <w:numPr>
                <w:ilvl w:val="0"/>
                <w:numId w:val="33"/>
              </w:numPr>
              <w:spacing w:after="100" w:line="360" w:lineRule="auto"/>
              <w:contextualSpacing w:val="0"/>
              <w:cnfStyle w:val="000000100000" w:firstRow="0" w:lastRow="0" w:firstColumn="0" w:lastColumn="0" w:oddVBand="0" w:evenVBand="0" w:oddHBand="1" w:evenHBand="0" w:firstRowFirstColumn="0" w:firstRowLastColumn="0" w:lastRowFirstColumn="0" w:lastRowLastColumn="0"/>
              <w:rPr>
                <w:i/>
                <w:szCs w:val="20"/>
              </w:rPr>
            </w:pPr>
            <w:r w:rsidRPr="00853DA7">
              <w:rPr>
                <w:i/>
                <w:iCs/>
                <w:szCs w:val="20"/>
              </w:rPr>
              <w:t>Reconciliation checks (static information)</w:t>
            </w:r>
            <w:r w:rsidR="00077901">
              <w:rPr>
                <w:i/>
                <w:iCs/>
                <w:szCs w:val="20"/>
              </w:rPr>
              <w:t>;</w:t>
            </w:r>
          </w:p>
          <w:p w14:paraId="7ABEE660" w14:textId="77777777" w:rsidR="00356070" w:rsidRPr="00853DA7" w:rsidRDefault="00356070" w:rsidP="00356070">
            <w:pPr>
              <w:pStyle w:val="ListParagraph"/>
              <w:numPr>
                <w:ilvl w:val="0"/>
                <w:numId w:val="33"/>
              </w:numPr>
              <w:spacing w:after="100" w:line="360" w:lineRule="auto"/>
              <w:contextualSpacing w:val="0"/>
              <w:cnfStyle w:val="000000100000" w:firstRow="0" w:lastRow="0" w:firstColumn="0" w:lastColumn="0" w:oddVBand="0" w:evenVBand="0" w:oddHBand="1" w:evenHBand="0" w:firstRowFirstColumn="0" w:firstRowLastColumn="0" w:lastRowFirstColumn="0" w:lastRowLastColumn="0"/>
              <w:rPr>
                <w:i/>
                <w:szCs w:val="20"/>
              </w:rPr>
            </w:pPr>
            <w:r w:rsidRPr="00853DA7">
              <w:rPr>
                <w:i/>
                <w:iCs/>
                <w:szCs w:val="20"/>
              </w:rPr>
              <w:t>Plausibility checks (when possible, for dynamic fields).</w:t>
            </w:r>
          </w:p>
          <w:p w14:paraId="0898D967" w14:textId="3377CA65" w:rsidR="00356070" w:rsidRPr="00853DA7" w:rsidRDefault="00356070" w:rsidP="00E472A8">
            <w:pPr>
              <w:cnfStyle w:val="000000100000" w:firstRow="0" w:lastRow="0" w:firstColumn="0" w:lastColumn="0" w:oddVBand="0" w:evenVBand="0" w:oddHBand="1" w:evenHBand="0" w:firstRowFirstColumn="0" w:firstRowLastColumn="0" w:lastRowFirstColumn="0" w:lastRowLastColumn="0"/>
              <w:rPr>
                <w:i/>
                <w:szCs w:val="20"/>
              </w:rPr>
            </w:pPr>
            <w:r w:rsidRPr="00853DA7">
              <w:rPr>
                <w:i/>
                <w:iCs/>
                <w:szCs w:val="20"/>
              </w:rPr>
              <w:t xml:space="preserve">Change logs </w:t>
            </w:r>
            <w:r w:rsidR="00077901">
              <w:rPr>
                <w:i/>
                <w:iCs/>
                <w:szCs w:val="20"/>
              </w:rPr>
              <w:t>may</w:t>
            </w:r>
            <w:r w:rsidR="00077901" w:rsidRPr="00853DA7">
              <w:rPr>
                <w:i/>
                <w:iCs/>
                <w:szCs w:val="20"/>
              </w:rPr>
              <w:t xml:space="preserve"> </w:t>
            </w:r>
            <w:r w:rsidRPr="00853DA7">
              <w:rPr>
                <w:i/>
                <w:iCs/>
                <w:szCs w:val="20"/>
              </w:rPr>
              <w:t>also be useful to allow the authorities to understand wh</w:t>
            </w:r>
            <w:r w:rsidR="00077901">
              <w:rPr>
                <w:i/>
                <w:iCs/>
                <w:szCs w:val="20"/>
              </w:rPr>
              <w:t>ich</w:t>
            </w:r>
            <w:r w:rsidRPr="00853DA7">
              <w:rPr>
                <w:i/>
                <w:iCs/>
                <w:szCs w:val="20"/>
              </w:rPr>
              <w:t xml:space="preserve"> changes were </w:t>
            </w:r>
            <w:r w:rsidR="00077901">
              <w:rPr>
                <w:i/>
                <w:iCs/>
                <w:szCs w:val="20"/>
              </w:rPr>
              <w:t>made</w:t>
            </w:r>
            <w:r w:rsidR="00077901" w:rsidRPr="00853DA7">
              <w:rPr>
                <w:i/>
                <w:iCs/>
                <w:szCs w:val="20"/>
              </w:rPr>
              <w:t xml:space="preserve"> </w:t>
            </w:r>
            <w:r w:rsidRPr="00853DA7">
              <w:rPr>
                <w:i/>
                <w:iCs/>
                <w:szCs w:val="20"/>
              </w:rPr>
              <w:t>before final delivery, by whom and to what data point</w:t>
            </w:r>
            <w:r w:rsidR="00077901">
              <w:rPr>
                <w:i/>
                <w:iCs/>
                <w:szCs w:val="20"/>
              </w:rPr>
              <w:t>.</w:t>
            </w:r>
            <w:r w:rsidRPr="00853DA7">
              <w:rPr>
                <w:i/>
                <w:iCs/>
                <w:szCs w:val="20"/>
              </w:rPr>
              <w:t>]</w:t>
            </w:r>
          </w:p>
        </w:tc>
      </w:tr>
      <w:tr w:rsidR="00356070" w:rsidRPr="00976D91" w14:paraId="0F78635F" w14:textId="77777777" w:rsidTr="00FA5819">
        <w:tc>
          <w:tcPr>
            <w:cnfStyle w:val="001000000000" w:firstRow="0" w:lastRow="0" w:firstColumn="1" w:lastColumn="0" w:oddVBand="0" w:evenVBand="0" w:oddHBand="0" w:evenHBand="0" w:firstRowFirstColumn="0" w:firstRowLastColumn="0" w:lastRowFirstColumn="0" w:lastRowLastColumn="0"/>
            <w:tcW w:w="3539" w:type="dxa"/>
            <w:hideMark/>
          </w:tcPr>
          <w:p w14:paraId="22E9C400" w14:textId="1EA004A9" w:rsidR="00356070" w:rsidRPr="00853DA7" w:rsidRDefault="00356070" w:rsidP="00E472A8">
            <w:pPr>
              <w:rPr>
                <w:b w:val="0"/>
                <w:szCs w:val="20"/>
              </w:rPr>
            </w:pPr>
            <w:r w:rsidRPr="00853DA7">
              <w:rPr>
                <w:szCs w:val="20"/>
              </w:rPr>
              <w:t>Correct identification of the scope of bail-in/WDC</w:t>
            </w:r>
            <w:r w:rsidR="00B5389F">
              <w:rPr>
                <w:szCs w:val="20"/>
              </w:rPr>
              <w:t>:</w:t>
            </w:r>
          </w:p>
        </w:tc>
        <w:tc>
          <w:tcPr>
            <w:tcW w:w="10343" w:type="dxa"/>
            <w:hideMark/>
          </w:tcPr>
          <w:p w14:paraId="7D10FAF4" w14:textId="6392F260" w:rsidR="00356070" w:rsidRPr="00853DA7" w:rsidRDefault="00356070" w:rsidP="00E472A8">
            <w:pPr>
              <w:cnfStyle w:val="000000000000" w:firstRow="0" w:lastRow="0" w:firstColumn="0" w:lastColumn="0" w:oddVBand="0" w:evenVBand="0" w:oddHBand="0" w:evenHBand="0" w:firstRowFirstColumn="0" w:firstRowLastColumn="0" w:lastRowFirstColumn="0" w:lastRowLastColumn="0"/>
              <w:rPr>
                <w:i/>
                <w:szCs w:val="20"/>
              </w:rPr>
            </w:pPr>
            <w:r w:rsidRPr="00853DA7">
              <w:rPr>
                <w:i/>
                <w:iCs/>
                <w:szCs w:val="20"/>
              </w:rPr>
              <w:t xml:space="preserve">[Banks should outline any obstacles </w:t>
            </w:r>
            <w:r w:rsidR="00FC6E50">
              <w:rPr>
                <w:i/>
                <w:iCs/>
                <w:szCs w:val="20"/>
              </w:rPr>
              <w:t>they</w:t>
            </w:r>
            <w:r w:rsidRPr="00853DA7">
              <w:rPr>
                <w:i/>
                <w:iCs/>
                <w:szCs w:val="20"/>
              </w:rPr>
              <w:t xml:space="preserve"> faced regarding the identification of mandatory excluded liabilities and distinguish them from </w:t>
            </w:r>
            <w:r w:rsidR="00FC6E50">
              <w:rPr>
                <w:i/>
                <w:iCs/>
                <w:szCs w:val="20"/>
              </w:rPr>
              <w:t>those</w:t>
            </w:r>
            <w:r w:rsidRPr="00853DA7">
              <w:rPr>
                <w:i/>
                <w:iCs/>
                <w:szCs w:val="20"/>
              </w:rPr>
              <w:t xml:space="preserve"> potentially subject to bail-in, and how/if the</w:t>
            </w:r>
            <w:r w:rsidR="00FC6E50">
              <w:rPr>
                <w:i/>
                <w:iCs/>
                <w:szCs w:val="20"/>
              </w:rPr>
              <w:t xml:space="preserve"> obstacles</w:t>
            </w:r>
            <w:r w:rsidRPr="00853DA7">
              <w:rPr>
                <w:i/>
                <w:iCs/>
                <w:szCs w:val="20"/>
              </w:rPr>
              <w:t xml:space="preserve"> were overcome.] </w:t>
            </w:r>
          </w:p>
        </w:tc>
      </w:tr>
      <w:tr w:rsidR="00356070" w:rsidRPr="00976D91" w14:paraId="3C6AEF05" w14:textId="77777777" w:rsidTr="00622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BDDEFF" w:themeFill="text2" w:themeFillTint="33"/>
            <w:hideMark/>
          </w:tcPr>
          <w:p w14:paraId="1888E963" w14:textId="212FEF6C" w:rsidR="00356070" w:rsidRPr="00853DA7" w:rsidRDefault="00356070" w:rsidP="00E472A8">
            <w:pPr>
              <w:rPr>
                <w:b w:val="0"/>
                <w:szCs w:val="20"/>
              </w:rPr>
            </w:pPr>
            <w:r w:rsidRPr="00853DA7">
              <w:rPr>
                <w:szCs w:val="20"/>
              </w:rPr>
              <w:t>Description of equity composition (reserves, etc</w:t>
            </w:r>
            <w:r w:rsidR="00FC6E50">
              <w:rPr>
                <w:szCs w:val="20"/>
              </w:rPr>
              <w:t>.</w:t>
            </w:r>
            <w:r w:rsidRPr="00853DA7">
              <w:rPr>
                <w:szCs w:val="20"/>
              </w:rPr>
              <w:t>):</w:t>
            </w:r>
          </w:p>
        </w:tc>
        <w:tc>
          <w:tcPr>
            <w:tcW w:w="10343" w:type="dxa"/>
            <w:shd w:val="clear" w:color="auto" w:fill="BDDEFF" w:themeFill="text2" w:themeFillTint="33"/>
            <w:hideMark/>
          </w:tcPr>
          <w:p w14:paraId="576E4571" w14:textId="4E106BD6" w:rsidR="00356070" w:rsidRPr="003658FE" w:rsidRDefault="00356070" w:rsidP="00E472A8">
            <w:pPr>
              <w:cnfStyle w:val="000000100000" w:firstRow="0" w:lastRow="0" w:firstColumn="0" w:lastColumn="0" w:oddVBand="0" w:evenVBand="0" w:oddHBand="1" w:evenHBand="0" w:firstRowFirstColumn="0" w:firstRowLastColumn="0" w:lastRowFirstColumn="0" w:lastRowLastColumn="0"/>
              <w:rPr>
                <w:i/>
                <w:iCs/>
                <w:szCs w:val="20"/>
              </w:rPr>
            </w:pPr>
            <w:r w:rsidRPr="00853DA7">
              <w:rPr>
                <w:i/>
                <w:iCs/>
                <w:szCs w:val="20"/>
              </w:rPr>
              <w:t>[For the category “</w:t>
            </w:r>
            <w:r w:rsidR="00343308">
              <w:rPr>
                <w:i/>
                <w:iCs/>
                <w:szCs w:val="20"/>
              </w:rPr>
              <w:t>Other e</w:t>
            </w:r>
            <w:r w:rsidRPr="00853DA7">
              <w:rPr>
                <w:i/>
                <w:iCs/>
                <w:szCs w:val="20"/>
              </w:rPr>
              <w:t xml:space="preserve">quity </w:t>
            </w:r>
            <w:r w:rsidR="00343308">
              <w:rPr>
                <w:i/>
                <w:iCs/>
                <w:szCs w:val="20"/>
              </w:rPr>
              <w:t>items</w:t>
            </w:r>
            <w:r w:rsidRPr="00853DA7">
              <w:rPr>
                <w:i/>
                <w:iCs/>
                <w:szCs w:val="20"/>
              </w:rPr>
              <w:t>” [B</w:t>
            </w:r>
            <w:proofErr w:type="gramStart"/>
            <w:r w:rsidRPr="00853DA7">
              <w:rPr>
                <w:i/>
                <w:iCs/>
                <w:szCs w:val="20"/>
              </w:rPr>
              <w:t>01;</w:t>
            </w:r>
            <w:r w:rsidR="00343308" w:rsidRPr="00853DA7">
              <w:rPr>
                <w:i/>
                <w:iCs/>
                <w:szCs w:val="20"/>
              </w:rPr>
              <w:t>c</w:t>
            </w:r>
            <w:proofErr w:type="gramEnd"/>
            <w:r w:rsidR="00343308" w:rsidRPr="00853DA7">
              <w:rPr>
                <w:i/>
                <w:iCs/>
                <w:szCs w:val="20"/>
              </w:rPr>
              <w:t>00</w:t>
            </w:r>
            <w:r w:rsidR="00343308">
              <w:rPr>
                <w:i/>
                <w:iCs/>
                <w:szCs w:val="20"/>
              </w:rPr>
              <w:t>3</w:t>
            </w:r>
            <w:r w:rsidR="00343308" w:rsidRPr="00853DA7">
              <w:rPr>
                <w:i/>
                <w:iCs/>
                <w:szCs w:val="20"/>
              </w:rPr>
              <w:t>0</w:t>
            </w:r>
            <w:r w:rsidRPr="00853DA7">
              <w:rPr>
                <w:i/>
                <w:iCs/>
                <w:szCs w:val="20"/>
              </w:rPr>
              <w:t>]</w:t>
            </w:r>
            <w:r w:rsidR="00343308">
              <w:rPr>
                <w:i/>
                <w:iCs/>
                <w:szCs w:val="20"/>
              </w:rPr>
              <w:t>,</w:t>
            </w:r>
            <w:r w:rsidRPr="00853DA7">
              <w:rPr>
                <w:i/>
                <w:iCs/>
                <w:szCs w:val="20"/>
              </w:rPr>
              <w:t xml:space="preserve"> </w:t>
            </w:r>
            <w:r w:rsidR="00343308">
              <w:rPr>
                <w:i/>
                <w:iCs/>
                <w:szCs w:val="20"/>
              </w:rPr>
              <w:t>when</w:t>
            </w:r>
            <w:r w:rsidRPr="00853DA7">
              <w:rPr>
                <w:i/>
                <w:iCs/>
                <w:szCs w:val="20"/>
              </w:rPr>
              <w:t xml:space="preserve"> reporting field [B01;c00</w:t>
            </w:r>
            <w:r w:rsidR="00343308">
              <w:rPr>
                <w:i/>
                <w:iCs/>
                <w:szCs w:val="20"/>
              </w:rPr>
              <w:t>5</w:t>
            </w:r>
            <w:r w:rsidRPr="00853DA7">
              <w:rPr>
                <w:i/>
                <w:iCs/>
                <w:szCs w:val="20"/>
              </w:rPr>
              <w:t>0]</w:t>
            </w:r>
            <w:r w:rsidR="00FC6E50">
              <w:rPr>
                <w:i/>
                <w:iCs/>
                <w:szCs w:val="20"/>
              </w:rPr>
              <w:t>,</w:t>
            </w:r>
            <w:r w:rsidRPr="00853DA7">
              <w:rPr>
                <w:i/>
                <w:iCs/>
                <w:szCs w:val="20"/>
              </w:rPr>
              <w:t xml:space="preserve"> </w:t>
            </w:r>
            <w:r w:rsidR="00343308">
              <w:rPr>
                <w:i/>
                <w:iCs/>
                <w:szCs w:val="20"/>
              </w:rPr>
              <w:t>bank</w:t>
            </w:r>
            <w:r w:rsidR="00FC6E50">
              <w:rPr>
                <w:i/>
                <w:iCs/>
                <w:szCs w:val="20"/>
              </w:rPr>
              <w:t>s</w:t>
            </w:r>
            <w:r w:rsidR="00343308">
              <w:rPr>
                <w:i/>
                <w:iCs/>
                <w:szCs w:val="20"/>
              </w:rPr>
              <w:t xml:space="preserve"> </w:t>
            </w:r>
            <w:r w:rsidRPr="00853DA7">
              <w:rPr>
                <w:i/>
                <w:iCs/>
                <w:szCs w:val="20"/>
              </w:rPr>
              <w:t>should</w:t>
            </w:r>
            <w:r w:rsidR="00343308">
              <w:rPr>
                <w:i/>
                <w:iCs/>
                <w:szCs w:val="20"/>
              </w:rPr>
              <w:t xml:space="preserve"> provide more details on the equity items considered, any proxy used for their determination and</w:t>
            </w:r>
            <w:r w:rsidRPr="00853DA7">
              <w:rPr>
                <w:i/>
                <w:iCs/>
                <w:szCs w:val="20"/>
              </w:rPr>
              <w:t xml:space="preserve"> </w:t>
            </w:r>
            <w:r w:rsidR="00343308">
              <w:rPr>
                <w:i/>
                <w:iCs/>
                <w:szCs w:val="20"/>
              </w:rPr>
              <w:t xml:space="preserve">elaborate on </w:t>
            </w:r>
            <w:r w:rsidR="00343308" w:rsidRPr="00A62C11">
              <w:rPr>
                <w:i/>
                <w:iCs/>
                <w:szCs w:val="20"/>
              </w:rPr>
              <w:t xml:space="preserve">their ability to </w:t>
            </w:r>
            <w:r w:rsidR="00343308" w:rsidRPr="00A62C11">
              <w:rPr>
                <w:i/>
                <w:iCs/>
                <w:szCs w:val="20"/>
              </w:rPr>
              <w:lastRenderedPageBreak/>
              <w:t>contribute or not to loss-absorption in line with the assessment performed according to paragraph 34b of the Operational Guidance on Bail-in Playbooks</w:t>
            </w:r>
            <w:r w:rsidR="00FC6E50">
              <w:rPr>
                <w:i/>
                <w:iCs/>
                <w:szCs w:val="20"/>
              </w:rPr>
              <w:t>.</w:t>
            </w:r>
            <w:r w:rsidRPr="00853DA7">
              <w:rPr>
                <w:i/>
                <w:iCs/>
                <w:szCs w:val="20"/>
              </w:rPr>
              <w:t xml:space="preserve">] </w:t>
            </w:r>
          </w:p>
        </w:tc>
      </w:tr>
      <w:tr w:rsidR="00356070" w:rsidRPr="00976D91" w14:paraId="664F8DBF" w14:textId="77777777" w:rsidTr="00FA5819">
        <w:tc>
          <w:tcPr>
            <w:cnfStyle w:val="001000000000" w:firstRow="0" w:lastRow="0" w:firstColumn="1" w:lastColumn="0" w:oddVBand="0" w:evenVBand="0" w:oddHBand="0" w:evenHBand="0" w:firstRowFirstColumn="0" w:firstRowLastColumn="0" w:lastRowFirstColumn="0" w:lastRowLastColumn="0"/>
            <w:tcW w:w="3539" w:type="dxa"/>
            <w:hideMark/>
          </w:tcPr>
          <w:p w14:paraId="6D606D07" w14:textId="6705DD63" w:rsidR="00356070" w:rsidRPr="00853DA7" w:rsidRDefault="00356070" w:rsidP="00E472A8">
            <w:pPr>
              <w:rPr>
                <w:b w:val="0"/>
                <w:szCs w:val="20"/>
              </w:rPr>
            </w:pPr>
            <w:r w:rsidRPr="00853DA7">
              <w:rPr>
                <w:szCs w:val="20"/>
              </w:rPr>
              <w:lastRenderedPageBreak/>
              <w:t>Correct filling of data field “Relevant amount for bail-in” [B</w:t>
            </w:r>
            <w:proofErr w:type="gramStart"/>
            <w:r w:rsidRPr="00853DA7">
              <w:rPr>
                <w:szCs w:val="20"/>
              </w:rPr>
              <w:t>02;c</w:t>
            </w:r>
            <w:proofErr w:type="gramEnd"/>
            <w:r w:rsidRPr="00853DA7">
              <w:rPr>
                <w:szCs w:val="20"/>
              </w:rPr>
              <w:t>0130]</w:t>
            </w:r>
            <w:r w:rsidR="00B5389F">
              <w:rPr>
                <w:szCs w:val="20"/>
              </w:rPr>
              <w:t>:</w:t>
            </w:r>
          </w:p>
        </w:tc>
        <w:tc>
          <w:tcPr>
            <w:tcW w:w="10343" w:type="dxa"/>
            <w:hideMark/>
          </w:tcPr>
          <w:p w14:paraId="27439A0F" w14:textId="10303B68" w:rsidR="00356070" w:rsidRPr="00853DA7" w:rsidRDefault="00356070" w:rsidP="00E472A8">
            <w:pPr>
              <w:cnfStyle w:val="000000000000" w:firstRow="0" w:lastRow="0" w:firstColumn="0" w:lastColumn="0" w:oddVBand="0" w:evenVBand="0" w:oddHBand="0" w:evenHBand="0" w:firstRowFirstColumn="0" w:firstRowLastColumn="0" w:lastRowFirstColumn="0" w:lastRowLastColumn="0"/>
              <w:rPr>
                <w:b/>
                <w:i/>
                <w:szCs w:val="20"/>
              </w:rPr>
            </w:pPr>
            <w:r w:rsidRPr="00853DA7">
              <w:rPr>
                <w:i/>
                <w:iCs/>
                <w:szCs w:val="20"/>
              </w:rPr>
              <w:t>[</w:t>
            </w:r>
            <w:r w:rsidR="00FC6E50">
              <w:rPr>
                <w:i/>
                <w:iCs/>
                <w:szCs w:val="20"/>
              </w:rPr>
              <w:t>B</w:t>
            </w:r>
            <w:r w:rsidRPr="00853DA7">
              <w:rPr>
                <w:i/>
                <w:iCs/>
                <w:szCs w:val="20"/>
              </w:rPr>
              <w:t>ank</w:t>
            </w:r>
            <w:r w:rsidR="00FC6E50">
              <w:rPr>
                <w:i/>
                <w:iCs/>
                <w:szCs w:val="20"/>
              </w:rPr>
              <w:t>s</w:t>
            </w:r>
            <w:r w:rsidRPr="00853DA7">
              <w:rPr>
                <w:i/>
                <w:iCs/>
                <w:szCs w:val="20"/>
              </w:rPr>
              <w:t xml:space="preserve"> should elaborate, when applicable, on the quality assurance process to ensure the correct filling </w:t>
            </w:r>
            <w:r w:rsidR="00FC6E50">
              <w:rPr>
                <w:i/>
                <w:iCs/>
                <w:szCs w:val="20"/>
              </w:rPr>
              <w:t xml:space="preserve">in </w:t>
            </w:r>
            <w:r w:rsidRPr="00853DA7">
              <w:rPr>
                <w:i/>
                <w:iCs/>
                <w:szCs w:val="20"/>
              </w:rPr>
              <w:t xml:space="preserve">of this data field and its interplay with the following fields: </w:t>
            </w:r>
          </w:p>
          <w:p w14:paraId="6779F64E" w14:textId="2563CEF6" w:rsidR="00356070" w:rsidRPr="00853DA7" w:rsidRDefault="00356070" w:rsidP="00356070">
            <w:pPr>
              <w:pStyle w:val="ListParagraph"/>
              <w:numPr>
                <w:ilvl w:val="0"/>
                <w:numId w:val="34"/>
              </w:numPr>
              <w:spacing w:after="100" w:line="360" w:lineRule="auto"/>
              <w:contextualSpacing w:val="0"/>
              <w:cnfStyle w:val="000000000000" w:firstRow="0" w:lastRow="0" w:firstColumn="0" w:lastColumn="0" w:oddVBand="0" w:evenVBand="0" w:oddHBand="0" w:evenHBand="0" w:firstRowFirstColumn="0" w:firstRowLastColumn="0" w:lastRowFirstColumn="0" w:lastRowLastColumn="0"/>
              <w:rPr>
                <w:i/>
                <w:szCs w:val="20"/>
              </w:rPr>
            </w:pPr>
            <w:r w:rsidRPr="00853DA7">
              <w:rPr>
                <w:i/>
                <w:iCs/>
                <w:szCs w:val="20"/>
              </w:rPr>
              <w:t>Accrued interest [B</w:t>
            </w:r>
            <w:proofErr w:type="gramStart"/>
            <w:r w:rsidRPr="00853DA7">
              <w:rPr>
                <w:i/>
                <w:iCs/>
                <w:szCs w:val="20"/>
              </w:rPr>
              <w:t>02;c</w:t>
            </w:r>
            <w:proofErr w:type="gramEnd"/>
            <w:r w:rsidRPr="00853DA7">
              <w:rPr>
                <w:i/>
                <w:iCs/>
                <w:szCs w:val="20"/>
              </w:rPr>
              <w:t>0100]</w:t>
            </w:r>
            <w:r w:rsidR="00FC6E50">
              <w:rPr>
                <w:i/>
                <w:iCs/>
                <w:szCs w:val="20"/>
              </w:rPr>
              <w:t>;</w:t>
            </w:r>
          </w:p>
          <w:p w14:paraId="4CEB0BC4" w14:textId="01078678" w:rsidR="00356070" w:rsidRPr="00853DA7" w:rsidRDefault="00356070" w:rsidP="00356070">
            <w:pPr>
              <w:pStyle w:val="ListParagraph"/>
              <w:numPr>
                <w:ilvl w:val="0"/>
                <w:numId w:val="34"/>
              </w:numPr>
              <w:spacing w:after="100" w:line="360" w:lineRule="auto"/>
              <w:contextualSpacing w:val="0"/>
              <w:cnfStyle w:val="000000000000" w:firstRow="0" w:lastRow="0" w:firstColumn="0" w:lastColumn="0" w:oddVBand="0" w:evenVBand="0" w:oddHBand="0" w:evenHBand="0" w:firstRowFirstColumn="0" w:firstRowLastColumn="0" w:lastRowFirstColumn="0" w:lastRowLastColumn="0"/>
              <w:rPr>
                <w:i/>
                <w:szCs w:val="20"/>
              </w:rPr>
            </w:pPr>
            <w:r w:rsidRPr="00853DA7">
              <w:rPr>
                <w:i/>
                <w:iCs/>
                <w:szCs w:val="20"/>
              </w:rPr>
              <w:t>Portion of instrument or liability held by the reporting entity [B</w:t>
            </w:r>
            <w:proofErr w:type="gramStart"/>
            <w:r w:rsidRPr="00853DA7">
              <w:rPr>
                <w:i/>
                <w:iCs/>
                <w:szCs w:val="20"/>
              </w:rPr>
              <w:t>02;c</w:t>
            </w:r>
            <w:proofErr w:type="gramEnd"/>
            <w:r w:rsidRPr="00853DA7">
              <w:rPr>
                <w:i/>
                <w:iCs/>
                <w:szCs w:val="20"/>
              </w:rPr>
              <w:t>0090]</w:t>
            </w:r>
            <w:r w:rsidR="00FC6E50">
              <w:rPr>
                <w:i/>
                <w:iCs/>
                <w:szCs w:val="20"/>
              </w:rPr>
              <w:t>;</w:t>
            </w:r>
          </w:p>
          <w:p w14:paraId="702F3A96" w14:textId="18BE4791" w:rsidR="00356070" w:rsidRPr="00853DA7" w:rsidRDefault="00356070" w:rsidP="00356070">
            <w:pPr>
              <w:pStyle w:val="ListParagraph"/>
              <w:numPr>
                <w:ilvl w:val="0"/>
                <w:numId w:val="34"/>
              </w:numPr>
              <w:spacing w:after="100" w:line="360" w:lineRule="auto"/>
              <w:contextualSpacing w:val="0"/>
              <w:cnfStyle w:val="000000000000" w:firstRow="0" w:lastRow="0" w:firstColumn="0" w:lastColumn="0" w:oddVBand="0" w:evenVBand="0" w:oddHBand="0" w:evenHBand="0" w:firstRowFirstColumn="0" w:firstRowLastColumn="0" w:lastRowFirstColumn="0" w:lastRowLastColumn="0"/>
              <w:rPr>
                <w:i/>
                <w:szCs w:val="20"/>
              </w:rPr>
            </w:pPr>
            <w:r w:rsidRPr="00853DA7">
              <w:rPr>
                <w:i/>
                <w:iCs/>
                <w:szCs w:val="20"/>
              </w:rPr>
              <w:t>Amount of pledge, lien or collateral [B</w:t>
            </w:r>
            <w:proofErr w:type="gramStart"/>
            <w:r w:rsidRPr="00853DA7">
              <w:rPr>
                <w:i/>
                <w:iCs/>
                <w:szCs w:val="20"/>
              </w:rPr>
              <w:t>02;c</w:t>
            </w:r>
            <w:proofErr w:type="gramEnd"/>
            <w:r w:rsidRPr="00853DA7">
              <w:rPr>
                <w:i/>
                <w:iCs/>
                <w:szCs w:val="20"/>
              </w:rPr>
              <w:t>0320]</w:t>
            </w:r>
            <w:r w:rsidR="00FC6E50">
              <w:rPr>
                <w:i/>
                <w:iCs/>
                <w:szCs w:val="20"/>
              </w:rPr>
              <w:t>;</w:t>
            </w:r>
          </w:p>
          <w:p w14:paraId="5EE78B45" w14:textId="679C6EDE" w:rsidR="00356070" w:rsidRPr="00853DA7" w:rsidRDefault="00356070" w:rsidP="00356070">
            <w:pPr>
              <w:pStyle w:val="ListParagraph"/>
              <w:numPr>
                <w:ilvl w:val="0"/>
                <w:numId w:val="34"/>
              </w:numPr>
              <w:spacing w:after="100" w:line="360" w:lineRule="auto"/>
              <w:contextualSpacing w:val="0"/>
              <w:cnfStyle w:val="000000000000" w:firstRow="0" w:lastRow="0" w:firstColumn="0" w:lastColumn="0" w:oddVBand="0" w:evenVBand="0" w:oddHBand="0" w:evenHBand="0" w:firstRowFirstColumn="0" w:firstRowLastColumn="0" w:lastRowFirstColumn="0" w:lastRowLastColumn="0"/>
              <w:rPr>
                <w:i/>
                <w:szCs w:val="20"/>
              </w:rPr>
            </w:pPr>
            <w:r w:rsidRPr="00853DA7">
              <w:rPr>
                <w:i/>
                <w:iCs/>
                <w:szCs w:val="20"/>
              </w:rPr>
              <w:t>Deduction of other components considered mandator</w:t>
            </w:r>
            <w:r w:rsidR="00FC6E50">
              <w:rPr>
                <w:i/>
                <w:iCs/>
                <w:szCs w:val="20"/>
              </w:rPr>
              <w:t>il</w:t>
            </w:r>
            <w:r w:rsidRPr="00853DA7">
              <w:rPr>
                <w:i/>
                <w:iCs/>
                <w:szCs w:val="20"/>
              </w:rPr>
              <w:t xml:space="preserve">y excluded. For </w:t>
            </w:r>
            <w:r w:rsidR="00FC6E50">
              <w:rPr>
                <w:i/>
                <w:iCs/>
                <w:szCs w:val="20"/>
              </w:rPr>
              <w:t>example</w:t>
            </w:r>
            <w:r w:rsidRPr="00853DA7">
              <w:rPr>
                <w:i/>
                <w:iCs/>
                <w:szCs w:val="20"/>
              </w:rPr>
              <w:t xml:space="preserve">, </w:t>
            </w:r>
            <w:r w:rsidR="00FC6E50">
              <w:rPr>
                <w:i/>
                <w:iCs/>
                <w:szCs w:val="20"/>
              </w:rPr>
              <w:t>c</w:t>
            </w:r>
            <w:r w:rsidRPr="00853DA7">
              <w:rPr>
                <w:i/>
                <w:iCs/>
                <w:szCs w:val="20"/>
              </w:rPr>
              <w:t>overed portion of eligible deposits [B</w:t>
            </w:r>
            <w:proofErr w:type="gramStart"/>
            <w:r w:rsidRPr="00853DA7">
              <w:rPr>
                <w:i/>
                <w:iCs/>
                <w:szCs w:val="20"/>
              </w:rPr>
              <w:t>02;c</w:t>
            </w:r>
            <w:proofErr w:type="gramEnd"/>
            <w:r w:rsidRPr="00853DA7">
              <w:rPr>
                <w:i/>
                <w:iCs/>
                <w:szCs w:val="20"/>
              </w:rPr>
              <w:t xml:space="preserve">0300], portion of liabilities subscribed </w:t>
            </w:r>
            <w:r w:rsidR="00FC6E50">
              <w:rPr>
                <w:i/>
                <w:iCs/>
                <w:szCs w:val="20"/>
              </w:rPr>
              <w:t xml:space="preserve">to </w:t>
            </w:r>
            <w:r w:rsidRPr="00853DA7">
              <w:rPr>
                <w:i/>
                <w:iCs/>
                <w:szCs w:val="20"/>
              </w:rPr>
              <w:t>by intragroup counterparties, when considered mandator</w:t>
            </w:r>
            <w:r w:rsidR="00FC6E50">
              <w:rPr>
                <w:i/>
                <w:iCs/>
                <w:szCs w:val="20"/>
              </w:rPr>
              <w:t>il</w:t>
            </w:r>
            <w:r w:rsidRPr="00853DA7">
              <w:rPr>
                <w:i/>
                <w:iCs/>
                <w:szCs w:val="20"/>
              </w:rPr>
              <w:t>y excluded</w:t>
            </w:r>
            <w:r w:rsidR="00FC6E50">
              <w:rPr>
                <w:i/>
                <w:iCs/>
                <w:szCs w:val="20"/>
              </w:rPr>
              <w:t>;</w:t>
            </w:r>
          </w:p>
          <w:p w14:paraId="73D6BCCA" w14:textId="775623C5" w:rsidR="00356070" w:rsidRPr="00853DA7" w:rsidRDefault="00356070" w:rsidP="00356070">
            <w:pPr>
              <w:pStyle w:val="ListParagraph"/>
              <w:numPr>
                <w:ilvl w:val="0"/>
                <w:numId w:val="34"/>
              </w:numPr>
              <w:spacing w:after="100" w:line="360" w:lineRule="auto"/>
              <w:contextualSpacing w:val="0"/>
              <w:cnfStyle w:val="000000000000" w:firstRow="0" w:lastRow="0" w:firstColumn="0" w:lastColumn="0" w:oddVBand="0" w:evenVBand="0" w:oddHBand="0" w:evenHBand="0" w:firstRowFirstColumn="0" w:firstRowLastColumn="0" w:lastRowFirstColumn="0" w:lastRowLastColumn="0"/>
              <w:rPr>
                <w:i/>
                <w:szCs w:val="20"/>
              </w:rPr>
            </w:pPr>
            <w:r w:rsidRPr="00853DA7">
              <w:rPr>
                <w:i/>
                <w:iCs/>
                <w:szCs w:val="20"/>
              </w:rPr>
              <w:t>the need to revert to any national law transposing BRRD when applicable (please refer to the guidance for data field [B</w:t>
            </w:r>
            <w:proofErr w:type="gramStart"/>
            <w:r w:rsidRPr="00853DA7">
              <w:rPr>
                <w:i/>
                <w:iCs/>
                <w:szCs w:val="20"/>
              </w:rPr>
              <w:t>02;c</w:t>
            </w:r>
            <w:proofErr w:type="gramEnd"/>
            <w:r w:rsidRPr="00853DA7">
              <w:rPr>
                <w:i/>
                <w:iCs/>
                <w:szCs w:val="20"/>
              </w:rPr>
              <w:t>0130])</w:t>
            </w:r>
            <w:r w:rsidR="00FC6E50">
              <w:rPr>
                <w:i/>
                <w:iCs/>
                <w:szCs w:val="20"/>
              </w:rPr>
              <w:t>;</w:t>
            </w:r>
          </w:p>
          <w:p w14:paraId="101592B6" w14:textId="3EA736B3" w:rsidR="00356070" w:rsidRPr="00853DA7" w:rsidRDefault="00356070" w:rsidP="00356070">
            <w:pPr>
              <w:pStyle w:val="ListParagraph"/>
              <w:numPr>
                <w:ilvl w:val="0"/>
                <w:numId w:val="34"/>
              </w:numPr>
              <w:spacing w:after="100" w:line="360" w:lineRule="auto"/>
              <w:contextualSpacing w:val="0"/>
              <w:cnfStyle w:val="000000000000" w:firstRow="0" w:lastRow="0" w:firstColumn="0" w:lastColumn="0" w:oddVBand="0" w:evenVBand="0" w:oddHBand="0" w:evenHBand="0" w:firstRowFirstColumn="0" w:firstRowLastColumn="0" w:lastRowFirstColumn="0" w:lastRowLastColumn="0"/>
              <w:rPr>
                <w:i/>
                <w:szCs w:val="20"/>
              </w:rPr>
            </w:pPr>
            <w:r w:rsidRPr="00853DA7">
              <w:rPr>
                <w:i/>
                <w:iCs/>
                <w:szCs w:val="20"/>
              </w:rPr>
              <w:t>the need to include any proxy of the value in insolvency (please refer to the guidance of [B</w:t>
            </w:r>
            <w:proofErr w:type="gramStart"/>
            <w:r w:rsidRPr="00853DA7">
              <w:rPr>
                <w:i/>
                <w:iCs/>
                <w:szCs w:val="20"/>
              </w:rPr>
              <w:t>02;c</w:t>
            </w:r>
            <w:proofErr w:type="gramEnd"/>
            <w:r w:rsidRPr="00853DA7">
              <w:rPr>
                <w:i/>
                <w:iCs/>
                <w:szCs w:val="20"/>
              </w:rPr>
              <w:t>0130])</w:t>
            </w:r>
            <w:r w:rsidR="00FC6E50">
              <w:rPr>
                <w:i/>
                <w:iCs/>
                <w:szCs w:val="20"/>
              </w:rPr>
              <w:t>;</w:t>
            </w:r>
          </w:p>
          <w:p w14:paraId="26AA1760" w14:textId="4DD77C8B" w:rsidR="00356070" w:rsidRPr="00853DA7" w:rsidRDefault="00356070" w:rsidP="00356070">
            <w:pPr>
              <w:pStyle w:val="ListParagraph"/>
              <w:numPr>
                <w:ilvl w:val="0"/>
                <w:numId w:val="34"/>
              </w:numPr>
              <w:spacing w:after="100" w:line="360" w:lineRule="auto"/>
              <w:contextualSpacing w:val="0"/>
              <w:cnfStyle w:val="000000000000" w:firstRow="0" w:lastRow="0" w:firstColumn="0" w:lastColumn="0" w:oddVBand="0" w:evenVBand="0" w:oddHBand="0" w:evenHBand="0" w:firstRowFirstColumn="0" w:firstRowLastColumn="0" w:lastRowFirstColumn="0" w:lastRowLastColumn="0"/>
              <w:rPr>
                <w:b/>
                <w:szCs w:val="20"/>
              </w:rPr>
            </w:pPr>
            <w:r w:rsidRPr="00853DA7">
              <w:rPr>
                <w:i/>
                <w:iCs/>
                <w:szCs w:val="20"/>
              </w:rPr>
              <w:t>any specific consideration related to ZCBs (as identified by field [B</w:t>
            </w:r>
            <w:proofErr w:type="gramStart"/>
            <w:r w:rsidRPr="00853DA7">
              <w:rPr>
                <w:i/>
                <w:iCs/>
                <w:szCs w:val="20"/>
              </w:rPr>
              <w:t>02;c</w:t>
            </w:r>
            <w:proofErr w:type="gramEnd"/>
            <w:r w:rsidRPr="00853DA7">
              <w:rPr>
                <w:i/>
                <w:iCs/>
                <w:szCs w:val="20"/>
              </w:rPr>
              <w:t>0240])</w:t>
            </w:r>
            <w:r w:rsidR="00FC6E50">
              <w:rPr>
                <w:i/>
                <w:iCs/>
                <w:szCs w:val="20"/>
              </w:rPr>
              <w:t>.</w:t>
            </w:r>
            <w:r w:rsidRPr="00853DA7">
              <w:rPr>
                <w:i/>
                <w:iCs/>
                <w:szCs w:val="20"/>
              </w:rPr>
              <w:t>]</w:t>
            </w:r>
          </w:p>
        </w:tc>
      </w:tr>
      <w:tr w:rsidR="00356070" w:rsidRPr="00976D91" w14:paraId="5631156D" w14:textId="77777777" w:rsidTr="00622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BDDEFF" w:themeFill="text2" w:themeFillTint="33"/>
            <w:hideMark/>
          </w:tcPr>
          <w:p w14:paraId="14FDCA5B" w14:textId="2E27E6D7" w:rsidR="00356070" w:rsidRPr="00853DA7" w:rsidRDefault="00356070" w:rsidP="00E472A8">
            <w:pPr>
              <w:rPr>
                <w:b w:val="0"/>
                <w:szCs w:val="20"/>
              </w:rPr>
            </w:pPr>
            <w:r w:rsidRPr="00853DA7">
              <w:rPr>
                <w:szCs w:val="20"/>
              </w:rPr>
              <w:t>Description of the main differences between the outstanding and the carrying amount reported in the MBDT report [B02; c0120 and c06</w:t>
            </w:r>
            <w:r w:rsidR="002C0C49">
              <w:rPr>
                <w:szCs w:val="20"/>
              </w:rPr>
              <w:t>1</w:t>
            </w:r>
            <w:r w:rsidRPr="00853DA7">
              <w:rPr>
                <w:szCs w:val="20"/>
              </w:rPr>
              <w:t>0/c06</w:t>
            </w:r>
            <w:r w:rsidR="002C0C49">
              <w:rPr>
                <w:szCs w:val="20"/>
              </w:rPr>
              <w:t>3</w:t>
            </w:r>
            <w:r w:rsidRPr="00853DA7">
              <w:rPr>
                <w:szCs w:val="20"/>
              </w:rPr>
              <w:t>0], grouped by insolvency ranking:</w:t>
            </w:r>
          </w:p>
        </w:tc>
        <w:tc>
          <w:tcPr>
            <w:tcW w:w="10343" w:type="dxa"/>
            <w:shd w:val="clear" w:color="auto" w:fill="BDDEFF" w:themeFill="text2" w:themeFillTint="33"/>
            <w:hideMark/>
          </w:tcPr>
          <w:p w14:paraId="6748C319" w14:textId="2FEA4DDD" w:rsidR="00356070" w:rsidRPr="00853DA7" w:rsidRDefault="00356070" w:rsidP="00E472A8">
            <w:pPr>
              <w:cnfStyle w:val="000000100000" w:firstRow="0" w:lastRow="0" w:firstColumn="0" w:lastColumn="0" w:oddVBand="0" w:evenVBand="0" w:oddHBand="1" w:evenHBand="0" w:firstRowFirstColumn="0" w:firstRowLastColumn="0" w:lastRowFirstColumn="0" w:lastRowLastColumn="0"/>
              <w:rPr>
                <w:b/>
                <w:i/>
                <w:szCs w:val="20"/>
              </w:rPr>
            </w:pPr>
            <w:r w:rsidRPr="00853DA7">
              <w:rPr>
                <w:i/>
                <w:iCs/>
                <w:szCs w:val="20"/>
              </w:rPr>
              <w:t xml:space="preserve">[Banks should describe the main differences between the carrying and outstanding amounts reported in the MBDT report, so that it is possible to understand the cause and the magnitude of such differences, for </w:t>
            </w:r>
            <w:r w:rsidR="008D5539">
              <w:rPr>
                <w:i/>
                <w:iCs/>
                <w:szCs w:val="20"/>
              </w:rPr>
              <w:t>example,</w:t>
            </w:r>
            <w:r w:rsidR="008D5539" w:rsidRPr="00853DA7">
              <w:rPr>
                <w:i/>
                <w:iCs/>
                <w:szCs w:val="20"/>
              </w:rPr>
              <w:t xml:space="preserve"> </w:t>
            </w:r>
            <w:r w:rsidRPr="00853DA7">
              <w:rPr>
                <w:i/>
                <w:iCs/>
                <w:szCs w:val="20"/>
              </w:rPr>
              <w:t xml:space="preserve">identifying:   </w:t>
            </w:r>
          </w:p>
          <w:p w14:paraId="6D717F34" w14:textId="77777777" w:rsidR="00356070" w:rsidRPr="00853DA7" w:rsidRDefault="00356070" w:rsidP="00356070">
            <w:pPr>
              <w:pStyle w:val="ListParagraph"/>
              <w:numPr>
                <w:ilvl w:val="0"/>
                <w:numId w:val="35"/>
              </w:numPr>
              <w:spacing w:after="100" w:line="360" w:lineRule="auto"/>
              <w:contextualSpacing w:val="0"/>
              <w:cnfStyle w:val="000000100000" w:firstRow="0" w:lastRow="0" w:firstColumn="0" w:lastColumn="0" w:oddVBand="0" w:evenVBand="0" w:oddHBand="1" w:evenHBand="0" w:firstRowFirstColumn="0" w:firstRowLastColumn="0" w:lastRowFirstColumn="0" w:lastRowLastColumn="0"/>
              <w:rPr>
                <w:i/>
                <w:szCs w:val="20"/>
              </w:rPr>
            </w:pPr>
            <w:r w:rsidRPr="00853DA7">
              <w:rPr>
                <w:i/>
                <w:iCs/>
                <w:szCs w:val="20"/>
              </w:rPr>
              <w:t>Amortisation of issuance costs or other components;</w:t>
            </w:r>
          </w:p>
          <w:p w14:paraId="3629E806" w14:textId="0DF5E84A" w:rsidR="00356070" w:rsidRPr="00853DA7" w:rsidRDefault="00356070" w:rsidP="00356070">
            <w:pPr>
              <w:pStyle w:val="ListParagraph"/>
              <w:numPr>
                <w:ilvl w:val="0"/>
                <w:numId w:val="35"/>
              </w:numPr>
              <w:spacing w:after="100" w:line="360" w:lineRule="auto"/>
              <w:contextualSpacing w:val="0"/>
              <w:cnfStyle w:val="000000100000" w:firstRow="0" w:lastRow="0" w:firstColumn="0" w:lastColumn="0" w:oddVBand="0" w:evenVBand="0" w:oddHBand="1" w:evenHBand="0" w:firstRowFirstColumn="0" w:firstRowLastColumn="0" w:lastRowFirstColumn="0" w:lastRowLastColumn="0"/>
              <w:rPr>
                <w:i/>
                <w:szCs w:val="20"/>
              </w:rPr>
            </w:pPr>
            <w:r w:rsidRPr="00853DA7">
              <w:rPr>
                <w:i/>
                <w:iCs/>
                <w:szCs w:val="20"/>
              </w:rPr>
              <w:t>Fair value hedges adjustments (</w:t>
            </w:r>
            <w:r w:rsidR="00BF783D" w:rsidRPr="00853DA7">
              <w:rPr>
                <w:i/>
                <w:iCs/>
                <w:szCs w:val="20"/>
              </w:rPr>
              <w:t>e.g.</w:t>
            </w:r>
            <w:r w:rsidR="008D5539">
              <w:rPr>
                <w:i/>
                <w:iCs/>
                <w:szCs w:val="20"/>
              </w:rPr>
              <w:t>,</w:t>
            </w:r>
            <w:r w:rsidR="00BF783D" w:rsidRPr="00853DA7">
              <w:rPr>
                <w:i/>
                <w:iCs/>
                <w:szCs w:val="20"/>
              </w:rPr>
              <w:t xml:space="preserve"> </w:t>
            </w:r>
            <w:r w:rsidRPr="00853DA7">
              <w:rPr>
                <w:i/>
                <w:iCs/>
                <w:szCs w:val="20"/>
              </w:rPr>
              <w:t>IAS 39, paragraphs 89, 89a</w:t>
            </w:r>
            <w:r w:rsidR="00BF783D" w:rsidRPr="00853DA7">
              <w:rPr>
                <w:i/>
                <w:iCs/>
                <w:szCs w:val="20"/>
              </w:rPr>
              <w:t xml:space="preserve"> or IFRS 9, paragraphs 6.5.8 – 6.5.11</w:t>
            </w:r>
            <w:r w:rsidRPr="00853DA7">
              <w:rPr>
                <w:i/>
                <w:iCs/>
                <w:szCs w:val="20"/>
              </w:rPr>
              <w:t>);</w:t>
            </w:r>
          </w:p>
          <w:p w14:paraId="00B70B05" w14:textId="77777777" w:rsidR="00356070" w:rsidRPr="00853DA7" w:rsidRDefault="00356070" w:rsidP="00356070">
            <w:pPr>
              <w:pStyle w:val="ListParagraph"/>
              <w:numPr>
                <w:ilvl w:val="0"/>
                <w:numId w:val="35"/>
              </w:numPr>
              <w:spacing w:after="100" w:line="360" w:lineRule="auto"/>
              <w:contextualSpacing w:val="0"/>
              <w:cnfStyle w:val="000000100000" w:firstRow="0" w:lastRow="0" w:firstColumn="0" w:lastColumn="0" w:oddVBand="0" w:evenVBand="0" w:oddHBand="1" w:evenHBand="0" w:firstRowFirstColumn="0" w:firstRowLastColumn="0" w:lastRowFirstColumn="0" w:lastRowLastColumn="0"/>
              <w:rPr>
                <w:i/>
                <w:szCs w:val="20"/>
              </w:rPr>
            </w:pPr>
            <w:r w:rsidRPr="00853DA7">
              <w:rPr>
                <w:i/>
                <w:iCs/>
                <w:szCs w:val="20"/>
              </w:rPr>
              <w:t>Liabilities measured at FVPL or FVOCI;</w:t>
            </w:r>
          </w:p>
          <w:p w14:paraId="092E7452" w14:textId="16387809" w:rsidR="00356070" w:rsidRPr="00853DA7" w:rsidRDefault="00356070" w:rsidP="00356070">
            <w:pPr>
              <w:pStyle w:val="ListParagraph"/>
              <w:numPr>
                <w:ilvl w:val="0"/>
                <w:numId w:val="35"/>
              </w:numPr>
              <w:spacing w:after="100" w:line="360" w:lineRule="auto"/>
              <w:contextualSpacing w:val="0"/>
              <w:cnfStyle w:val="000000100000" w:firstRow="0" w:lastRow="0" w:firstColumn="0" w:lastColumn="0" w:oddVBand="0" w:evenVBand="0" w:oddHBand="1" w:evenHBand="0" w:firstRowFirstColumn="0" w:firstRowLastColumn="0" w:lastRowFirstColumn="0" w:lastRowLastColumn="0"/>
              <w:rPr>
                <w:i/>
                <w:szCs w:val="20"/>
              </w:rPr>
            </w:pPr>
            <w:r w:rsidRPr="00853DA7">
              <w:rPr>
                <w:i/>
                <w:iCs/>
                <w:szCs w:val="20"/>
              </w:rPr>
              <w:lastRenderedPageBreak/>
              <w:t>Other (please provide a general overview of the different item</w:t>
            </w:r>
            <w:r w:rsidR="008D5539">
              <w:rPr>
                <w:i/>
                <w:iCs/>
                <w:szCs w:val="20"/>
              </w:rPr>
              <w:t>s</w:t>
            </w:r>
            <w:r w:rsidRPr="00853DA7">
              <w:rPr>
                <w:i/>
                <w:iCs/>
                <w:szCs w:val="20"/>
              </w:rPr>
              <w:t xml:space="preserve"> causing a discrepancy included in this category)</w:t>
            </w:r>
            <w:r w:rsidR="008D5539">
              <w:rPr>
                <w:i/>
                <w:iCs/>
                <w:szCs w:val="20"/>
              </w:rPr>
              <w:t>.</w:t>
            </w:r>
            <w:r w:rsidRPr="00853DA7">
              <w:rPr>
                <w:i/>
                <w:iCs/>
                <w:szCs w:val="20"/>
              </w:rPr>
              <w:t>]</w:t>
            </w:r>
          </w:p>
        </w:tc>
      </w:tr>
      <w:tr w:rsidR="00356070" w:rsidRPr="00976D91" w14:paraId="1849902D" w14:textId="77777777" w:rsidTr="00FA5819">
        <w:tc>
          <w:tcPr>
            <w:cnfStyle w:val="001000000000" w:firstRow="0" w:lastRow="0" w:firstColumn="1" w:lastColumn="0" w:oddVBand="0" w:evenVBand="0" w:oddHBand="0" w:evenHBand="0" w:firstRowFirstColumn="0" w:firstRowLastColumn="0" w:lastRowFirstColumn="0" w:lastRowLastColumn="0"/>
            <w:tcW w:w="3539" w:type="dxa"/>
            <w:hideMark/>
          </w:tcPr>
          <w:p w14:paraId="340FDF50" w14:textId="4A762C48" w:rsidR="00356070" w:rsidRPr="00853DA7" w:rsidRDefault="00356070" w:rsidP="00E472A8">
            <w:pPr>
              <w:rPr>
                <w:b w:val="0"/>
                <w:szCs w:val="20"/>
              </w:rPr>
            </w:pPr>
            <w:r w:rsidRPr="00853DA7">
              <w:rPr>
                <w:szCs w:val="20"/>
              </w:rPr>
              <w:lastRenderedPageBreak/>
              <w:t>Country specific annex</w:t>
            </w:r>
            <w:r w:rsidR="00B5389F">
              <w:rPr>
                <w:szCs w:val="20"/>
              </w:rPr>
              <w:t>:</w:t>
            </w:r>
          </w:p>
        </w:tc>
        <w:tc>
          <w:tcPr>
            <w:tcW w:w="10343" w:type="dxa"/>
            <w:hideMark/>
          </w:tcPr>
          <w:p w14:paraId="5FF6C0A6" w14:textId="7124AA0B" w:rsidR="00356070" w:rsidRPr="00853DA7" w:rsidRDefault="00356070" w:rsidP="00E472A8">
            <w:pPr>
              <w:cnfStyle w:val="000000000000" w:firstRow="0" w:lastRow="0" w:firstColumn="0" w:lastColumn="0" w:oddVBand="0" w:evenVBand="0" w:oddHBand="0" w:evenHBand="0" w:firstRowFirstColumn="0" w:firstRowLastColumn="0" w:lastRowFirstColumn="0" w:lastRowLastColumn="0"/>
              <w:rPr>
                <w:i/>
                <w:szCs w:val="20"/>
              </w:rPr>
            </w:pPr>
            <w:r w:rsidRPr="00853DA7">
              <w:rPr>
                <w:i/>
                <w:iCs/>
                <w:szCs w:val="20"/>
              </w:rPr>
              <w:t xml:space="preserve">[Banks should </w:t>
            </w:r>
            <w:r w:rsidR="008D5539">
              <w:rPr>
                <w:i/>
                <w:iCs/>
                <w:szCs w:val="20"/>
              </w:rPr>
              <w:t>check</w:t>
            </w:r>
            <w:r w:rsidR="008D5539" w:rsidRPr="00853DA7">
              <w:rPr>
                <w:i/>
                <w:iCs/>
                <w:szCs w:val="20"/>
              </w:rPr>
              <w:t xml:space="preserve"> </w:t>
            </w:r>
            <w:r w:rsidRPr="00853DA7">
              <w:rPr>
                <w:i/>
                <w:iCs/>
                <w:szCs w:val="20"/>
              </w:rPr>
              <w:t>compliance with any applicable MBDT country annex. Please refer to the MBDT guidance document, section 1.3</w:t>
            </w:r>
            <w:r w:rsidR="008D5539">
              <w:rPr>
                <w:i/>
                <w:iCs/>
                <w:szCs w:val="20"/>
              </w:rPr>
              <w:t>.</w:t>
            </w:r>
            <w:r w:rsidRPr="00853DA7">
              <w:rPr>
                <w:i/>
                <w:iCs/>
                <w:szCs w:val="20"/>
              </w:rPr>
              <w:t>]</w:t>
            </w:r>
          </w:p>
        </w:tc>
      </w:tr>
      <w:tr w:rsidR="00356070" w:rsidRPr="00976D91" w14:paraId="692CA1EF" w14:textId="77777777" w:rsidTr="00622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BDDEFF" w:themeFill="text2" w:themeFillTint="33"/>
            <w:hideMark/>
          </w:tcPr>
          <w:p w14:paraId="592CC917" w14:textId="328DAFE2" w:rsidR="00356070" w:rsidRPr="00853DA7" w:rsidRDefault="00356070" w:rsidP="00E472A8">
            <w:pPr>
              <w:rPr>
                <w:b w:val="0"/>
                <w:szCs w:val="20"/>
              </w:rPr>
            </w:pPr>
            <w:r w:rsidRPr="00853DA7">
              <w:rPr>
                <w:szCs w:val="20"/>
              </w:rPr>
              <w:t>Liabilities that arise from debt instruments with embedded derivatives (structured products)</w:t>
            </w:r>
            <w:r w:rsidR="00B5389F">
              <w:rPr>
                <w:szCs w:val="20"/>
              </w:rPr>
              <w:t>:</w:t>
            </w:r>
          </w:p>
        </w:tc>
        <w:tc>
          <w:tcPr>
            <w:tcW w:w="10343" w:type="dxa"/>
            <w:shd w:val="clear" w:color="auto" w:fill="BDDEFF" w:themeFill="text2" w:themeFillTint="33"/>
            <w:hideMark/>
          </w:tcPr>
          <w:p w14:paraId="262B60C8" w14:textId="269C66B4" w:rsidR="00356070" w:rsidRPr="00853DA7" w:rsidRDefault="00356070" w:rsidP="00E472A8">
            <w:pPr>
              <w:cnfStyle w:val="000000100000" w:firstRow="0" w:lastRow="0" w:firstColumn="0" w:lastColumn="0" w:oddVBand="0" w:evenVBand="0" w:oddHBand="1" w:evenHBand="0" w:firstRowFirstColumn="0" w:firstRowLastColumn="0" w:lastRowFirstColumn="0" w:lastRowLastColumn="0"/>
              <w:rPr>
                <w:i/>
                <w:szCs w:val="20"/>
              </w:rPr>
            </w:pPr>
            <w:r w:rsidRPr="00853DA7">
              <w:rPr>
                <w:i/>
                <w:iCs/>
                <w:szCs w:val="20"/>
              </w:rPr>
              <w:t>[Banks should explain the main assumptions to ensure the proper reporting of data field [B</w:t>
            </w:r>
            <w:proofErr w:type="gramStart"/>
            <w:r w:rsidRPr="00853DA7">
              <w:rPr>
                <w:i/>
                <w:iCs/>
                <w:szCs w:val="20"/>
              </w:rPr>
              <w:t>02;c</w:t>
            </w:r>
            <w:proofErr w:type="gramEnd"/>
            <w:r w:rsidRPr="00853DA7">
              <w:rPr>
                <w:i/>
                <w:iCs/>
                <w:szCs w:val="20"/>
              </w:rPr>
              <w:t xml:space="preserve">0270], when such liabilities are in </w:t>
            </w:r>
            <w:r w:rsidR="008D5539">
              <w:rPr>
                <w:i/>
                <w:iCs/>
                <w:szCs w:val="20"/>
              </w:rPr>
              <w:t xml:space="preserve">the </w:t>
            </w:r>
            <w:r w:rsidRPr="00853DA7">
              <w:rPr>
                <w:i/>
                <w:iCs/>
                <w:szCs w:val="20"/>
              </w:rPr>
              <w:t xml:space="preserve">scope </w:t>
            </w:r>
            <w:r w:rsidR="008D5539">
              <w:rPr>
                <w:i/>
                <w:iCs/>
                <w:szCs w:val="20"/>
              </w:rPr>
              <w:t>of</w:t>
            </w:r>
            <w:r w:rsidR="008D5539" w:rsidRPr="00853DA7">
              <w:rPr>
                <w:i/>
                <w:iCs/>
                <w:szCs w:val="20"/>
              </w:rPr>
              <w:t xml:space="preserve"> </w:t>
            </w:r>
            <w:r w:rsidRPr="00853DA7">
              <w:rPr>
                <w:i/>
                <w:iCs/>
                <w:szCs w:val="20"/>
              </w:rPr>
              <w:t>the test</w:t>
            </w:r>
            <w:r w:rsidR="008D5539">
              <w:rPr>
                <w:i/>
                <w:iCs/>
                <w:szCs w:val="20"/>
              </w:rPr>
              <w:t>.</w:t>
            </w:r>
            <w:r w:rsidRPr="00853DA7">
              <w:rPr>
                <w:i/>
                <w:iCs/>
                <w:szCs w:val="20"/>
              </w:rPr>
              <w:t>]</w:t>
            </w:r>
          </w:p>
        </w:tc>
      </w:tr>
      <w:tr w:rsidR="00356070" w:rsidRPr="00976D91" w14:paraId="094BB346" w14:textId="77777777" w:rsidTr="00FA5819">
        <w:tc>
          <w:tcPr>
            <w:cnfStyle w:val="001000000000" w:firstRow="0" w:lastRow="0" w:firstColumn="1" w:lastColumn="0" w:oddVBand="0" w:evenVBand="0" w:oddHBand="0" w:evenHBand="0" w:firstRowFirstColumn="0" w:firstRowLastColumn="0" w:lastRowFirstColumn="0" w:lastRowLastColumn="0"/>
            <w:tcW w:w="3539" w:type="dxa"/>
            <w:hideMark/>
          </w:tcPr>
          <w:p w14:paraId="704D4063" w14:textId="00A12FE5" w:rsidR="00356070" w:rsidRPr="00853DA7" w:rsidRDefault="00356070" w:rsidP="00E472A8">
            <w:pPr>
              <w:rPr>
                <w:b w:val="0"/>
                <w:szCs w:val="20"/>
              </w:rPr>
            </w:pPr>
            <w:r w:rsidRPr="00853DA7">
              <w:rPr>
                <w:szCs w:val="20"/>
              </w:rPr>
              <w:t>Close out and early termination amounts</w:t>
            </w:r>
            <w:r w:rsidR="00B5389F">
              <w:rPr>
                <w:szCs w:val="20"/>
              </w:rPr>
              <w:t>:</w:t>
            </w:r>
          </w:p>
        </w:tc>
        <w:tc>
          <w:tcPr>
            <w:tcW w:w="10343" w:type="dxa"/>
            <w:hideMark/>
          </w:tcPr>
          <w:p w14:paraId="5EAC0BC0" w14:textId="3AFC426F" w:rsidR="00356070" w:rsidRPr="00853DA7" w:rsidRDefault="00356070" w:rsidP="00E472A8">
            <w:pPr>
              <w:cnfStyle w:val="000000000000" w:firstRow="0" w:lastRow="0" w:firstColumn="0" w:lastColumn="0" w:oddVBand="0" w:evenVBand="0" w:oddHBand="0" w:evenHBand="0" w:firstRowFirstColumn="0" w:firstRowLastColumn="0" w:lastRowFirstColumn="0" w:lastRowLastColumn="0"/>
              <w:rPr>
                <w:b/>
                <w:szCs w:val="20"/>
              </w:rPr>
            </w:pPr>
            <w:r w:rsidRPr="00853DA7">
              <w:rPr>
                <w:i/>
                <w:iCs/>
                <w:szCs w:val="20"/>
              </w:rPr>
              <w:t xml:space="preserve">[Banks should explain the main assumptions for the filling </w:t>
            </w:r>
            <w:r w:rsidR="008D5539">
              <w:rPr>
                <w:i/>
                <w:iCs/>
                <w:szCs w:val="20"/>
              </w:rPr>
              <w:t xml:space="preserve">in </w:t>
            </w:r>
            <w:r w:rsidRPr="00853DA7">
              <w:rPr>
                <w:i/>
                <w:iCs/>
                <w:szCs w:val="20"/>
              </w:rPr>
              <w:t>of data fields related to close out amounts [B03; c0100] and [B04; c0070],</w:t>
            </w:r>
            <w:r w:rsidRPr="00853DA7">
              <w:rPr>
                <w:b/>
                <w:bCs/>
                <w:szCs w:val="20"/>
              </w:rPr>
              <w:t xml:space="preserve"> </w:t>
            </w:r>
            <w:r w:rsidRPr="00853DA7">
              <w:rPr>
                <w:i/>
                <w:iCs/>
                <w:szCs w:val="20"/>
              </w:rPr>
              <w:t xml:space="preserve">when such liabilities are in </w:t>
            </w:r>
            <w:r w:rsidR="008D5539">
              <w:rPr>
                <w:i/>
                <w:iCs/>
                <w:szCs w:val="20"/>
              </w:rPr>
              <w:t xml:space="preserve">the </w:t>
            </w:r>
            <w:r w:rsidRPr="00853DA7">
              <w:rPr>
                <w:i/>
                <w:iCs/>
                <w:szCs w:val="20"/>
              </w:rPr>
              <w:t xml:space="preserve">scope </w:t>
            </w:r>
            <w:r w:rsidR="008D5539">
              <w:rPr>
                <w:i/>
                <w:iCs/>
                <w:szCs w:val="20"/>
              </w:rPr>
              <w:t>of</w:t>
            </w:r>
            <w:r w:rsidR="008D5539" w:rsidRPr="00853DA7">
              <w:rPr>
                <w:i/>
                <w:iCs/>
                <w:szCs w:val="20"/>
              </w:rPr>
              <w:t xml:space="preserve"> </w:t>
            </w:r>
            <w:r w:rsidRPr="00853DA7">
              <w:rPr>
                <w:i/>
                <w:iCs/>
                <w:szCs w:val="20"/>
              </w:rPr>
              <w:t>the test. The explanation should include the methodology to determine replacement costs incurred by the counterparties and costs incurred by the bank</w:t>
            </w:r>
            <w:r w:rsidR="008D5539">
              <w:rPr>
                <w:i/>
                <w:iCs/>
                <w:szCs w:val="20"/>
              </w:rPr>
              <w:t>,</w:t>
            </w:r>
            <w:r w:rsidRPr="00853DA7">
              <w:rPr>
                <w:i/>
                <w:iCs/>
                <w:szCs w:val="20"/>
              </w:rPr>
              <w:t xml:space="preserve"> itself</w:t>
            </w:r>
            <w:r w:rsidR="008D5539">
              <w:rPr>
                <w:i/>
                <w:iCs/>
                <w:szCs w:val="20"/>
              </w:rPr>
              <w:t>,</w:t>
            </w:r>
            <w:r w:rsidRPr="00853DA7">
              <w:rPr>
                <w:i/>
                <w:iCs/>
                <w:szCs w:val="20"/>
              </w:rPr>
              <w:t xml:space="preserve"> to re-establish hedges left open, in accordance with EBA RTS 2015/11 and Delegated Regulation EU 2016/1401</w:t>
            </w:r>
            <w:r w:rsidR="008D5539">
              <w:rPr>
                <w:i/>
                <w:iCs/>
                <w:szCs w:val="20"/>
              </w:rPr>
              <w:t>.</w:t>
            </w:r>
            <w:r w:rsidRPr="00853DA7">
              <w:rPr>
                <w:i/>
                <w:iCs/>
                <w:szCs w:val="20"/>
              </w:rPr>
              <w:t>]</w:t>
            </w:r>
          </w:p>
        </w:tc>
      </w:tr>
      <w:tr w:rsidR="00356070" w:rsidRPr="00976D91" w14:paraId="7148C483" w14:textId="77777777" w:rsidTr="00622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BDDEFF" w:themeFill="text2" w:themeFillTint="33"/>
            <w:hideMark/>
          </w:tcPr>
          <w:p w14:paraId="382934D6" w14:textId="42B71FE9" w:rsidR="00356070" w:rsidRPr="00853DA7" w:rsidRDefault="00356070" w:rsidP="00E472A8">
            <w:pPr>
              <w:rPr>
                <w:b w:val="0"/>
                <w:szCs w:val="20"/>
              </w:rPr>
            </w:pPr>
            <w:r w:rsidRPr="00853DA7">
              <w:rPr>
                <w:szCs w:val="20"/>
              </w:rPr>
              <w:t>Covered portion of eligible deposits</w:t>
            </w:r>
            <w:r w:rsidR="00B5389F">
              <w:rPr>
                <w:szCs w:val="20"/>
              </w:rPr>
              <w:t>:</w:t>
            </w:r>
          </w:p>
        </w:tc>
        <w:tc>
          <w:tcPr>
            <w:tcW w:w="10343" w:type="dxa"/>
            <w:shd w:val="clear" w:color="auto" w:fill="BDDEFF" w:themeFill="text2" w:themeFillTint="33"/>
            <w:hideMark/>
          </w:tcPr>
          <w:p w14:paraId="1FDCB642" w14:textId="1CFB7D76" w:rsidR="00356070" w:rsidRPr="00853DA7" w:rsidRDefault="00356070" w:rsidP="00E472A8">
            <w:pPr>
              <w:cnfStyle w:val="000000100000" w:firstRow="0" w:lastRow="0" w:firstColumn="0" w:lastColumn="0" w:oddVBand="0" w:evenVBand="0" w:oddHBand="1" w:evenHBand="0" w:firstRowFirstColumn="0" w:firstRowLastColumn="0" w:lastRowFirstColumn="0" w:lastRowLastColumn="0"/>
              <w:rPr>
                <w:b/>
                <w:szCs w:val="20"/>
              </w:rPr>
            </w:pPr>
            <w:r w:rsidRPr="00853DA7">
              <w:rPr>
                <w:i/>
                <w:iCs/>
                <w:szCs w:val="20"/>
              </w:rPr>
              <w:t>[Banks should explain the main rules and methodology adopted to ensure compliance with the reporting of field [B</w:t>
            </w:r>
            <w:proofErr w:type="gramStart"/>
            <w:r w:rsidRPr="00853DA7">
              <w:rPr>
                <w:i/>
                <w:iCs/>
                <w:szCs w:val="20"/>
              </w:rPr>
              <w:t>02;c</w:t>
            </w:r>
            <w:proofErr w:type="gramEnd"/>
            <w:r w:rsidRPr="00853DA7">
              <w:rPr>
                <w:i/>
                <w:iCs/>
                <w:szCs w:val="20"/>
              </w:rPr>
              <w:t xml:space="preserve">0300], when deposits are in </w:t>
            </w:r>
            <w:r w:rsidR="008D5539">
              <w:rPr>
                <w:i/>
                <w:iCs/>
                <w:szCs w:val="20"/>
              </w:rPr>
              <w:t xml:space="preserve">the </w:t>
            </w:r>
            <w:r w:rsidRPr="00853DA7">
              <w:rPr>
                <w:i/>
                <w:iCs/>
                <w:szCs w:val="20"/>
              </w:rPr>
              <w:t xml:space="preserve">scope </w:t>
            </w:r>
            <w:r w:rsidR="008D5539">
              <w:rPr>
                <w:i/>
                <w:iCs/>
                <w:szCs w:val="20"/>
              </w:rPr>
              <w:t>of</w:t>
            </w:r>
            <w:r w:rsidR="008D5539" w:rsidRPr="00853DA7">
              <w:rPr>
                <w:i/>
                <w:iCs/>
                <w:szCs w:val="20"/>
              </w:rPr>
              <w:t xml:space="preserve"> </w:t>
            </w:r>
            <w:r w:rsidRPr="00853DA7">
              <w:rPr>
                <w:i/>
                <w:iCs/>
                <w:szCs w:val="20"/>
              </w:rPr>
              <w:t>the test.</w:t>
            </w:r>
          </w:p>
        </w:tc>
      </w:tr>
      <w:tr w:rsidR="00356070" w:rsidRPr="00976D91" w14:paraId="6FE53F7D" w14:textId="77777777" w:rsidTr="00FA5819">
        <w:tc>
          <w:tcPr>
            <w:cnfStyle w:val="001000000000" w:firstRow="0" w:lastRow="0" w:firstColumn="1" w:lastColumn="0" w:oddVBand="0" w:evenVBand="0" w:oddHBand="0" w:evenHBand="0" w:firstRowFirstColumn="0" w:firstRowLastColumn="0" w:lastRowFirstColumn="0" w:lastRowLastColumn="0"/>
            <w:tcW w:w="3539" w:type="dxa"/>
            <w:hideMark/>
          </w:tcPr>
          <w:p w14:paraId="0FA7BAD2" w14:textId="064FFE92" w:rsidR="00356070" w:rsidRPr="00853DA7" w:rsidRDefault="00356070" w:rsidP="00E472A8">
            <w:pPr>
              <w:rPr>
                <w:b w:val="0"/>
                <w:szCs w:val="20"/>
              </w:rPr>
            </w:pPr>
            <w:r w:rsidRPr="00853DA7">
              <w:rPr>
                <w:szCs w:val="20"/>
              </w:rPr>
              <w:t>Data for Non-Resolution entities (ILTRM)</w:t>
            </w:r>
            <w:r w:rsidR="00B5389F">
              <w:rPr>
                <w:szCs w:val="20"/>
              </w:rPr>
              <w:t>:</w:t>
            </w:r>
          </w:p>
        </w:tc>
        <w:tc>
          <w:tcPr>
            <w:tcW w:w="10343" w:type="dxa"/>
            <w:hideMark/>
          </w:tcPr>
          <w:p w14:paraId="30B6CD0D" w14:textId="7400F441" w:rsidR="00356070" w:rsidRPr="00853DA7" w:rsidRDefault="00356070" w:rsidP="00E472A8">
            <w:pPr>
              <w:cnfStyle w:val="000000000000" w:firstRow="0" w:lastRow="0" w:firstColumn="0" w:lastColumn="0" w:oddVBand="0" w:evenVBand="0" w:oddHBand="0" w:evenHBand="0" w:firstRowFirstColumn="0" w:firstRowLastColumn="0" w:lastRowFirstColumn="0" w:lastRowLastColumn="0"/>
              <w:rPr>
                <w:i/>
                <w:szCs w:val="20"/>
              </w:rPr>
            </w:pPr>
            <w:r w:rsidRPr="00853DA7">
              <w:rPr>
                <w:i/>
                <w:iCs/>
                <w:szCs w:val="20"/>
              </w:rPr>
              <w:t xml:space="preserve">The MBDT data can be requested at </w:t>
            </w:r>
            <w:proofErr w:type="gramStart"/>
            <w:r w:rsidRPr="00853DA7">
              <w:rPr>
                <w:i/>
                <w:iCs/>
                <w:szCs w:val="20"/>
              </w:rPr>
              <w:t>Non-Resolution</w:t>
            </w:r>
            <w:proofErr w:type="gramEnd"/>
            <w:r w:rsidRPr="00853DA7">
              <w:rPr>
                <w:i/>
                <w:iCs/>
                <w:szCs w:val="20"/>
              </w:rPr>
              <w:t xml:space="preserve"> entity level, mainly for the application of WDC powers in line with the scope of </w:t>
            </w:r>
            <w:r w:rsidR="008D5539">
              <w:rPr>
                <w:i/>
                <w:iCs/>
                <w:szCs w:val="20"/>
              </w:rPr>
              <w:t>A</w:t>
            </w:r>
            <w:r w:rsidRPr="00853DA7">
              <w:rPr>
                <w:i/>
                <w:iCs/>
                <w:szCs w:val="20"/>
              </w:rPr>
              <w:t>rt</w:t>
            </w:r>
            <w:r w:rsidR="008D5539">
              <w:rPr>
                <w:i/>
                <w:iCs/>
                <w:szCs w:val="20"/>
              </w:rPr>
              <w:t>icle</w:t>
            </w:r>
            <w:r w:rsidRPr="00853DA7">
              <w:rPr>
                <w:i/>
                <w:iCs/>
                <w:szCs w:val="20"/>
              </w:rPr>
              <w:t xml:space="preserve"> 21(7a) SRMR. Non-Resolution entities involved in the test should produce the relevant dataset according to the instructions included in </w:t>
            </w:r>
            <w:r w:rsidR="008D5539">
              <w:rPr>
                <w:i/>
                <w:iCs/>
                <w:szCs w:val="20"/>
              </w:rPr>
              <w:t>A</w:t>
            </w:r>
            <w:r w:rsidRPr="00853DA7">
              <w:rPr>
                <w:i/>
                <w:iCs/>
                <w:szCs w:val="20"/>
              </w:rPr>
              <w:t>nnex 3 of the MBDT guidance document. To this extent, the above fields should also be considered for the entities in scope, where applicable. Please note that</w:t>
            </w:r>
            <w:r w:rsidR="000008A8">
              <w:rPr>
                <w:i/>
                <w:iCs/>
                <w:szCs w:val="20"/>
              </w:rPr>
              <w:t>,</w:t>
            </w:r>
            <w:r w:rsidRPr="00853DA7">
              <w:rPr>
                <w:i/>
                <w:iCs/>
                <w:szCs w:val="20"/>
              </w:rPr>
              <w:t xml:space="preserve"> for the </w:t>
            </w:r>
            <w:r w:rsidR="000008A8" w:rsidRPr="00853DA7">
              <w:rPr>
                <w:i/>
                <w:iCs/>
                <w:szCs w:val="20"/>
              </w:rPr>
              <w:t>purpose</w:t>
            </w:r>
            <w:r w:rsidR="000008A8">
              <w:rPr>
                <w:i/>
                <w:iCs/>
                <w:szCs w:val="20"/>
              </w:rPr>
              <w:t xml:space="preserve"> of</w:t>
            </w:r>
            <w:r w:rsidR="000008A8" w:rsidRPr="00853DA7">
              <w:rPr>
                <w:i/>
                <w:iCs/>
                <w:szCs w:val="20"/>
              </w:rPr>
              <w:t xml:space="preserve"> </w:t>
            </w:r>
            <w:r w:rsidRPr="00853DA7">
              <w:rPr>
                <w:i/>
                <w:iCs/>
                <w:szCs w:val="20"/>
              </w:rPr>
              <w:t>MBDT</w:t>
            </w:r>
            <w:r w:rsidR="000008A8">
              <w:rPr>
                <w:i/>
                <w:iCs/>
                <w:szCs w:val="20"/>
              </w:rPr>
              <w:t>,</w:t>
            </w:r>
            <w:r w:rsidRPr="00853DA7">
              <w:rPr>
                <w:i/>
                <w:iCs/>
                <w:szCs w:val="20"/>
              </w:rPr>
              <w:t xml:space="preserve"> also host cases (third</w:t>
            </w:r>
            <w:r w:rsidR="000008A8">
              <w:rPr>
                <w:i/>
                <w:iCs/>
                <w:szCs w:val="20"/>
              </w:rPr>
              <w:t>-</w:t>
            </w:r>
            <w:r w:rsidRPr="00853DA7">
              <w:rPr>
                <w:i/>
                <w:iCs/>
                <w:szCs w:val="20"/>
              </w:rPr>
              <w:t xml:space="preserve">country and </w:t>
            </w:r>
            <w:proofErr w:type="gramStart"/>
            <w:r w:rsidRPr="00853DA7">
              <w:rPr>
                <w:i/>
                <w:iCs/>
                <w:szCs w:val="20"/>
              </w:rPr>
              <w:t>Non-BU</w:t>
            </w:r>
            <w:proofErr w:type="gramEnd"/>
            <w:r w:rsidRPr="00853DA7">
              <w:rPr>
                <w:i/>
                <w:iCs/>
                <w:szCs w:val="20"/>
              </w:rPr>
              <w:t xml:space="preserve">) are considered as Non-Resolution entities. </w:t>
            </w:r>
          </w:p>
        </w:tc>
      </w:tr>
    </w:tbl>
    <w:p w14:paraId="475BF9DE" w14:textId="77777777" w:rsidR="00356070" w:rsidRDefault="00356070" w:rsidP="00356070"/>
    <w:p w14:paraId="30BB98BA" w14:textId="77777777" w:rsidR="00763A06" w:rsidRDefault="00763A06" w:rsidP="00763A06">
      <w:pPr>
        <w:pStyle w:val="Heading1"/>
      </w:pPr>
      <w:bookmarkStart w:id="21" w:name="_Toc188472272"/>
      <w:r>
        <w:br w:type="page"/>
      </w:r>
    </w:p>
    <w:p w14:paraId="2E8D96DC" w14:textId="11901E33" w:rsidR="00356070" w:rsidRPr="00FA5819" w:rsidRDefault="00763A06" w:rsidP="00FA5819">
      <w:pPr>
        <w:pStyle w:val="Heading1"/>
      </w:pPr>
      <w:r>
        <w:lastRenderedPageBreak/>
        <w:t xml:space="preserve">Annex II – </w:t>
      </w:r>
      <w:r>
        <w:rPr>
          <w:color w:val="005EB8" w:themeColor="accent3"/>
          <w:szCs w:val="20"/>
        </w:rPr>
        <w:t>Liquidity specific fields</w:t>
      </w:r>
      <w:r w:rsidR="001A0492">
        <w:rPr>
          <w:color w:val="005EB8" w:themeColor="accent3"/>
          <w:szCs w:val="20"/>
        </w:rPr>
        <w:t xml:space="preserve"> </w:t>
      </w:r>
      <w:r w:rsidR="001A0492" w:rsidRPr="001A0492">
        <w:rPr>
          <w:b w:val="0"/>
          <w:bCs w:val="0"/>
          <w:i/>
          <w:iCs/>
          <w:color w:val="005EB8" w:themeColor="accent3"/>
          <w:szCs w:val="20"/>
        </w:rPr>
        <w:t>(to be deleted when not relevant)</w:t>
      </w:r>
      <w:bookmarkEnd w:id="21"/>
    </w:p>
    <w:tbl>
      <w:tblPr>
        <w:tblStyle w:val="ListTable2-Accent4"/>
        <w:tblW w:w="13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397"/>
        <w:gridCol w:w="10485"/>
      </w:tblGrid>
      <w:tr w:rsidR="00356070" w:rsidRPr="00976D91" w14:paraId="5A9BDE2A" w14:textId="77777777" w:rsidTr="00622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BDDEFF" w:themeFill="text2" w:themeFillTint="33"/>
          </w:tcPr>
          <w:p w14:paraId="08E14E44" w14:textId="7C1439B1" w:rsidR="00356070" w:rsidRPr="00C333AC" w:rsidRDefault="00356070" w:rsidP="00E472A8">
            <w:pPr>
              <w:rPr>
                <w:bCs w:val="0"/>
              </w:rPr>
            </w:pPr>
            <w:r>
              <w:t xml:space="preserve">Assumptions </w:t>
            </w:r>
            <w:r w:rsidR="00D02D08">
              <w:t xml:space="preserve">for </w:t>
            </w:r>
            <w:r>
              <w:t>estimatin</w:t>
            </w:r>
            <w:r w:rsidR="00D02D08">
              <w:t>g</w:t>
            </w:r>
            <w:r>
              <w:t xml:space="preserve"> liquidity needs:</w:t>
            </w:r>
          </w:p>
        </w:tc>
        <w:tc>
          <w:tcPr>
            <w:tcW w:w="10485" w:type="dxa"/>
            <w:shd w:val="clear" w:color="auto" w:fill="BDDEFF" w:themeFill="text2" w:themeFillTint="33"/>
          </w:tcPr>
          <w:p w14:paraId="46844019" w14:textId="63A75DB1" w:rsidR="00356070" w:rsidRPr="00D802A5" w:rsidRDefault="00356070" w:rsidP="00E472A8">
            <w:pPr>
              <w:cnfStyle w:val="000000100000" w:firstRow="0" w:lastRow="0" w:firstColumn="0" w:lastColumn="0" w:oddVBand="0" w:evenVBand="0" w:oddHBand="1" w:evenHBand="0" w:firstRowFirstColumn="0" w:firstRowLastColumn="0" w:lastRowFirstColumn="0" w:lastRowLastColumn="0"/>
              <w:rPr>
                <w:bCs/>
              </w:rPr>
            </w:pPr>
            <w:r w:rsidRPr="6058A18D">
              <w:rPr>
                <w:i/>
                <w:iCs/>
              </w:rPr>
              <w:t>[</w:t>
            </w:r>
            <w:r>
              <w:rPr>
                <w:i/>
                <w:iCs/>
              </w:rPr>
              <w:t>Bank</w:t>
            </w:r>
            <w:r w:rsidRPr="6058A18D">
              <w:rPr>
                <w:i/>
                <w:iCs/>
              </w:rPr>
              <w:t xml:space="preserve">s </w:t>
            </w:r>
            <w:r w:rsidR="00E53D21">
              <w:rPr>
                <w:i/>
                <w:iCs/>
              </w:rPr>
              <w:t>should</w:t>
            </w:r>
            <w:r w:rsidRPr="6058A18D">
              <w:rPr>
                <w:i/>
                <w:iCs/>
              </w:rPr>
              <w:t xml:space="preserve"> clearly specify the assumptions that, during the test, enter into the identification of liquidity drivers and the estimation of liquidity needs. A</w:t>
            </w:r>
            <w:r w:rsidR="00E53D21">
              <w:rPr>
                <w:i/>
                <w:iCs/>
              </w:rPr>
              <w:t xml:space="preserve">t </w:t>
            </w:r>
            <w:r w:rsidRPr="6058A18D">
              <w:rPr>
                <w:i/>
                <w:iCs/>
              </w:rPr>
              <w:t>minimum</w:t>
            </w:r>
            <w:r w:rsidR="00351504">
              <w:rPr>
                <w:i/>
                <w:iCs/>
              </w:rPr>
              <w:t>,</w:t>
            </w:r>
            <w:r w:rsidRPr="6058A18D">
              <w:rPr>
                <w:i/>
                <w:iCs/>
              </w:rPr>
              <w:t xml:space="preserve"> the following </w:t>
            </w:r>
            <w:r w:rsidR="00E53D21">
              <w:rPr>
                <w:i/>
                <w:iCs/>
              </w:rPr>
              <w:t xml:space="preserve">assumptions </w:t>
            </w:r>
            <w:r w:rsidRPr="6058A18D">
              <w:rPr>
                <w:i/>
                <w:iCs/>
              </w:rPr>
              <w:t>should be explained: outflow rates, roll-over-rates, counterparty behaviour, effect of the PRS</w:t>
            </w:r>
            <w:r w:rsidR="00351504">
              <w:rPr>
                <w:i/>
                <w:iCs/>
              </w:rPr>
              <w:t xml:space="preserve"> and</w:t>
            </w:r>
            <w:r w:rsidRPr="6058A18D">
              <w:rPr>
                <w:i/>
                <w:iCs/>
              </w:rPr>
              <w:t xml:space="preserve"> haircuts.]</w:t>
            </w:r>
          </w:p>
        </w:tc>
      </w:tr>
      <w:tr w:rsidR="00356070" w:rsidRPr="00976D91" w14:paraId="1E12C668" w14:textId="77777777" w:rsidTr="00FA5819">
        <w:tc>
          <w:tcPr>
            <w:cnfStyle w:val="001000000000" w:firstRow="0" w:lastRow="0" w:firstColumn="1" w:lastColumn="0" w:oddVBand="0" w:evenVBand="0" w:oddHBand="0" w:evenHBand="0" w:firstRowFirstColumn="0" w:firstRowLastColumn="0" w:lastRowFirstColumn="0" w:lastRowLastColumn="0"/>
            <w:tcW w:w="3397" w:type="dxa"/>
          </w:tcPr>
          <w:p w14:paraId="28A6DE5B" w14:textId="2EF62D1E" w:rsidR="00356070" w:rsidRPr="00F16BCD" w:rsidRDefault="00356070" w:rsidP="00E472A8">
            <w:pPr>
              <w:rPr>
                <w:bCs w:val="0"/>
              </w:rPr>
            </w:pPr>
            <w:r>
              <w:t xml:space="preserve">Methodology </w:t>
            </w:r>
            <w:r w:rsidR="00D02D08">
              <w:t xml:space="preserve">to </w:t>
            </w:r>
            <w:r>
              <w:t>estimat</w:t>
            </w:r>
            <w:r w:rsidR="00D02D08">
              <w:t>e</w:t>
            </w:r>
            <w:r>
              <w:t xml:space="preserve"> liquidity needs:</w:t>
            </w:r>
          </w:p>
        </w:tc>
        <w:tc>
          <w:tcPr>
            <w:tcW w:w="10485" w:type="dxa"/>
          </w:tcPr>
          <w:p w14:paraId="24AD0E85" w14:textId="119D2DAA" w:rsidR="00356070" w:rsidRPr="000B594E" w:rsidRDefault="00356070" w:rsidP="00E472A8">
            <w:pPr>
              <w:cnfStyle w:val="000000000000" w:firstRow="0" w:lastRow="0" w:firstColumn="0" w:lastColumn="0" w:oddVBand="0" w:evenVBand="0" w:oddHBand="0" w:evenHBand="0" w:firstRowFirstColumn="0" w:firstRowLastColumn="0" w:lastRowFirstColumn="0" w:lastRowLastColumn="0"/>
            </w:pPr>
            <w:r w:rsidRPr="6058A18D">
              <w:rPr>
                <w:i/>
                <w:iCs/>
              </w:rPr>
              <w:t xml:space="preserve">[Where there are deviations from the methodology as described by </w:t>
            </w:r>
            <w:r>
              <w:rPr>
                <w:i/>
                <w:iCs/>
              </w:rPr>
              <w:t>banks</w:t>
            </w:r>
            <w:r w:rsidRPr="6058A18D">
              <w:rPr>
                <w:i/>
                <w:iCs/>
              </w:rPr>
              <w:t xml:space="preserve"> in the reference documents, </w:t>
            </w:r>
            <w:r w:rsidR="00B5389F">
              <w:rPr>
                <w:i/>
                <w:iCs/>
              </w:rPr>
              <w:t xml:space="preserve">the </w:t>
            </w:r>
            <w:r>
              <w:rPr>
                <w:i/>
                <w:iCs/>
              </w:rPr>
              <w:t>banks</w:t>
            </w:r>
            <w:r w:rsidRPr="6058A18D">
              <w:rPr>
                <w:i/>
                <w:iCs/>
              </w:rPr>
              <w:t xml:space="preserve"> </w:t>
            </w:r>
            <w:r w:rsidR="00E53D21">
              <w:rPr>
                <w:i/>
                <w:iCs/>
              </w:rPr>
              <w:t>should</w:t>
            </w:r>
            <w:r w:rsidRPr="6058A18D">
              <w:rPr>
                <w:i/>
                <w:iCs/>
              </w:rPr>
              <w:t xml:space="preserve"> provide an overview of the methodology that underlies their estimations. If there is no deviation, </w:t>
            </w:r>
            <w:r>
              <w:rPr>
                <w:i/>
                <w:iCs/>
              </w:rPr>
              <w:t>banks</w:t>
            </w:r>
            <w:r w:rsidRPr="6058A18D">
              <w:rPr>
                <w:i/>
                <w:iCs/>
              </w:rPr>
              <w:t xml:space="preserve"> </w:t>
            </w:r>
            <w:r w:rsidR="00E53D21">
              <w:rPr>
                <w:i/>
                <w:iCs/>
              </w:rPr>
              <w:t>should</w:t>
            </w:r>
            <w:r w:rsidRPr="6058A18D">
              <w:rPr>
                <w:i/>
                <w:iCs/>
              </w:rPr>
              <w:t xml:space="preserve"> state so.]</w:t>
            </w:r>
          </w:p>
        </w:tc>
      </w:tr>
      <w:tr w:rsidR="00356070" w:rsidRPr="00976D91" w14:paraId="0F93821C" w14:textId="77777777" w:rsidTr="00622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BDDEFF" w:themeFill="text2" w:themeFillTint="33"/>
          </w:tcPr>
          <w:p w14:paraId="51523F33" w14:textId="77777777" w:rsidR="00356070" w:rsidRPr="00236A6A" w:rsidRDefault="00356070" w:rsidP="00E472A8">
            <w:pPr>
              <w:rPr>
                <w:b w:val="0"/>
                <w:sz w:val="22"/>
              </w:rPr>
            </w:pPr>
            <w:r>
              <w:t>Analysis of the consistency and reliability of the outcome of the estimation of liquidity needs:</w:t>
            </w:r>
          </w:p>
        </w:tc>
        <w:tc>
          <w:tcPr>
            <w:tcW w:w="10485" w:type="dxa"/>
            <w:shd w:val="clear" w:color="auto" w:fill="BDDEFF" w:themeFill="text2" w:themeFillTint="33"/>
          </w:tcPr>
          <w:p w14:paraId="5B4F62F0" w14:textId="26C247B6" w:rsidR="00356070" w:rsidRPr="000B594E" w:rsidRDefault="00356070" w:rsidP="00E472A8">
            <w:pPr>
              <w:cnfStyle w:val="000000100000" w:firstRow="0" w:lastRow="0" w:firstColumn="0" w:lastColumn="0" w:oddVBand="0" w:evenVBand="0" w:oddHBand="1" w:evenHBand="0" w:firstRowFirstColumn="0" w:firstRowLastColumn="0" w:lastRowFirstColumn="0" w:lastRowLastColumn="0"/>
            </w:pPr>
            <w:r w:rsidRPr="6058A18D">
              <w:rPr>
                <w:i/>
                <w:iCs/>
                <w:sz w:val="22"/>
              </w:rPr>
              <w:t>[</w:t>
            </w:r>
            <w:r w:rsidRPr="6058A18D">
              <w:rPr>
                <w:i/>
                <w:iCs/>
              </w:rPr>
              <w:t xml:space="preserve">When describing the overall assessment of the testing exercise, </w:t>
            </w:r>
            <w:r>
              <w:rPr>
                <w:i/>
                <w:iCs/>
              </w:rPr>
              <w:t>bank</w:t>
            </w:r>
            <w:r w:rsidRPr="6058A18D">
              <w:rPr>
                <w:i/>
                <w:iCs/>
              </w:rPr>
              <w:t xml:space="preserve">s </w:t>
            </w:r>
            <w:r w:rsidR="00E53D21">
              <w:rPr>
                <w:i/>
                <w:iCs/>
              </w:rPr>
              <w:t>should</w:t>
            </w:r>
            <w:r w:rsidRPr="6058A18D">
              <w:rPr>
                <w:i/>
                <w:iCs/>
              </w:rPr>
              <w:t xml:space="preserve"> provide an analysis of the consistency and reliability of the estimation of liquidity needs in the relevant scenario by reference to previous experiences and/or past crisis cases.]</w:t>
            </w:r>
          </w:p>
        </w:tc>
      </w:tr>
      <w:tr w:rsidR="00356070" w:rsidRPr="00976D91" w14:paraId="52414930" w14:textId="77777777" w:rsidTr="00FA5819">
        <w:tc>
          <w:tcPr>
            <w:cnfStyle w:val="001000000000" w:firstRow="0" w:lastRow="0" w:firstColumn="1" w:lastColumn="0" w:oddVBand="0" w:evenVBand="0" w:oddHBand="0" w:evenHBand="0" w:firstRowFirstColumn="0" w:firstRowLastColumn="0" w:lastRowFirstColumn="0" w:lastRowLastColumn="0"/>
            <w:tcW w:w="3397" w:type="dxa"/>
          </w:tcPr>
          <w:p w14:paraId="28F31562" w14:textId="77777777" w:rsidR="00356070" w:rsidRPr="00236A6A" w:rsidRDefault="00356070" w:rsidP="00E472A8">
            <w:pPr>
              <w:rPr>
                <w:b w:val="0"/>
                <w:sz w:val="22"/>
              </w:rPr>
            </w:pPr>
            <w:r>
              <w:rPr>
                <w:rFonts w:ascii="Arial" w:eastAsia="Arial" w:hAnsi="Arial" w:cs="Times New Roman"/>
              </w:rPr>
              <w:t>Level of automation:</w:t>
            </w:r>
          </w:p>
        </w:tc>
        <w:tc>
          <w:tcPr>
            <w:tcW w:w="10485" w:type="dxa"/>
          </w:tcPr>
          <w:p w14:paraId="108826B3" w14:textId="0645E6FD" w:rsidR="00356070" w:rsidRPr="000B594E" w:rsidRDefault="00356070" w:rsidP="00E472A8">
            <w:pPr>
              <w:cnfStyle w:val="000000000000" w:firstRow="0" w:lastRow="0" w:firstColumn="0" w:lastColumn="0" w:oddVBand="0" w:evenVBand="0" w:oddHBand="0" w:evenHBand="0" w:firstRowFirstColumn="0" w:firstRowLastColumn="0" w:lastRowFirstColumn="0" w:lastRowLastColumn="0"/>
            </w:pPr>
            <w:r w:rsidRPr="6058A18D">
              <w:rPr>
                <w:rFonts w:ascii="Arial" w:eastAsia="Arial" w:hAnsi="Arial" w:cs="Times New Roman"/>
                <w:i/>
                <w:iCs/>
              </w:rPr>
              <w:t>[</w:t>
            </w:r>
            <w:r>
              <w:rPr>
                <w:rFonts w:ascii="Arial" w:eastAsia="Arial" w:hAnsi="Arial" w:cs="Times New Roman"/>
                <w:i/>
                <w:iCs/>
              </w:rPr>
              <w:t>Bank</w:t>
            </w:r>
            <w:r w:rsidRPr="6058A18D">
              <w:rPr>
                <w:rFonts w:ascii="Arial" w:eastAsia="Arial" w:hAnsi="Arial" w:cs="Times New Roman"/>
                <w:i/>
                <w:iCs/>
              </w:rPr>
              <w:t xml:space="preserve">s </w:t>
            </w:r>
            <w:r w:rsidR="00E53D21">
              <w:rPr>
                <w:rFonts w:ascii="Arial" w:eastAsia="Arial" w:hAnsi="Arial" w:cs="Times New Roman"/>
                <w:i/>
                <w:iCs/>
              </w:rPr>
              <w:t>should</w:t>
            </w:r>
            <w:r w:rsidRPr="6058A18D">
              <w:rPr>
                <w:rFonts w:ascii="Arial" w:eastAsia="Arial" w:hAnsi="Arial" w:cs="Times New Roman"/>
                <w:i/>
                <w:iCs/>
              </w:rPr>
              <w:t xml:space="preserve"> explain the level of automation they have achieved in the production of data and reporting.]</w:t>
            </w:r>
          </w:p>
        </w:tc>
      </w:tr>
      <w:tr w:rsidR="00356070" w:rsidRPr="00976D91" w14:paraId="3BC85B81" w14:textId="77777777" w:rsidTr="00622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BDDEFF" w:themeFill="text2" w:themeFillTint="33"/>
          </w:tcPr>
          <w:p w14:paraId="2DA19E11" w14:textId="77777777" w:rsidR="00356070" w:rsidRPr="00236A6A" w:rsidRDefault="00356070" w:rsidP="00E472A8">
            <w:pPr>
              <w:rPr>
                <w:b w:val="0"/>
                <w:sz w:val="22"/>
              </w:rPr>
            </w:pPr>
            <w:r>
              <w:rPr>
                <w:rFonts w:ascii="Arial" w:eastAsia="Arial" w:hAnsi="Arial" w:cs="Times New Roman"/>
              </w:rPr>
              <w:t>Reference date of data used:</w:t>
            </w:r>
          </w:p>
        </w:tc>
        <w:tc>
          <w:tcPr>
            <w:tcW w:w="10485" w:type="dxa"/>
            <w:shd w:val="clear" w:color="auto" w:fill="BDDEFF" w:themeFill="text2" w:themeFillTint="33"/>
          </w:tcPr>
          <w:p w14:paraId="2C39ADAC" w14:textId="2267FC09" w:rsidR="00356070" w:rsidRPr="000B594E" w:rsidRDefault="00356070" w:rsidP="00E472A8">
            <w:pPr>
              <w:cnfStyle w:val="000000100000" w:firstRow="0" w:lastRow="0" w:firstColumn="0" w:lastColumn="0" w:oddVBand="0" w:evenVBand="0" w:oddHBand="1" w:evenHBand="0" w:firstRowFirstColumn="0" w:firstRowLastColumn="0" w:lastRowFirstColumn="0" w:lastRowLastColumn="0"/>
            </w:pPr>
            <w:r w:rsidRPr="6058A18D">
              <w:rPr>
                <w:rFonts w:ascii="Arial" w:eastAsia="Arial" w:hAnsi="Arial" w:cs="Times New Roman"/>
                <w:i/>
                <w:iCs/>
              </w:rPr>
              <w:t>[</w:t>
            </w:r>
            <w:r>
              <w:rPr>
                <w:rFonts w:ascii="Arial" w:eastAsia="Arial" w:hAnsi="Arial" w:cs="Times New Roman"/>
                <w:i/>
                <w:iCs/>
              </w:rPr>
              <w:t>Bank</w:t>
            </w:r>
            <w:r w:rsidRPr="6058A18D">
              <w:rPr>
                <w:rFonts w:ascii="Arial" w:eastAsia="Arial" w:hAnsi="Arial" w:cs="Times New Roman"/>
                <w:i/>
                <w:iCs/>
              </w:rPr>
              <w:t xml:space="preserve"> </w:t>
            </w:r>
            <w:r w:rsidR="00E53D21">
              <w:rPr>
                <w:rFonts w:ascii="Arial" w:eastAsia="Arial" w:hAnsi="Arial" w:cs="Times New Roman"/>
                <w:i/>
                <w:iCs/>
              </w:rPr>
              <w:t>should</w:t>
            </w:r>
            <w:r w:rsidRPr="6058A18D">
              <w:rPr>
                <w:rFonts w:ascii="Arial" w:eastAsia="Arial" w:hAnsi="Arial" w:cs="Times New Roman"/>
                <w:i/>
                <w:iCs/>
              </w:rPr>
              <w:t xml:space="preserve"> explain if some datapoints used/submitted are of a different reference date </w:t>
            </w:r>
            <w:r w:rsidR="00B5389F">
              <w:rPr>
                <w:rFonts w:ascii="Arial" w:eastAsia="Arial" w:hAnsi="Arial" w:cs="Times New Roman"/>
                <w:i/>
                <w:iCs/>
              </w:rPr>
              <w:t>to</w:t>
            </w:r>
            <w:r w:rsidR="00B5389F" w:rsidRPr="6058A18D">
              <w:rPr>
                <w:rFonts w:ascii="Arial" w:eastAsia="Arial" w:hAnsi="Arial" w:cs="Times New Roman"/>
                <w:i/>
                <w:iCs/>
              </w:rPr>
              <w:t xml:space="preserve"> </w:t>
            </w:r>
            <w:r w:rsidRPr="6058A18D">
              <w:rPr>
                <w:rFonts w:ascii="Arial" w:eastAsia="Arial" w:hAnsi="Arial" w:cs="Times New Roman"/>
                <w:i/>
                <w:iCs/>
              </w:rPr>
              <w:t>the one mentioned in the basic outline of the test.]</w:t>
            </w:r>
          </w:p>
        </w:tc>
      </w:tr>
      <w:tr w:rsidR="00356070" w:rsidRPr="00976D91" w14:paraId="62A4C185" w14:textId="77777777" w:rsidTr="00FA5819">
        <w:tc>
          <w:tcPr>
            <w:cnfStyle w:val="001000000000" w:firstRow="0" w:lastRow="0" w:firstColumn="1" w:lastColumn="0" w:oddVBand="0" w:evenVBand="0" w:oddHBand="0" w:evenHBand="0" w:firstRowFirstColumn="0" w:firstRowLastColumn="0" w:lastRowFirstColumn="0" w:lastRowLastColumn="0"/>
            <w:tcW w:w="3397" w:type="dxa"/>
          </w:tcPr>
          <w:p w14:paraId="106B2A4D" w14:textId="77777777" w:rsidR="00356070" w:rsidRPr="00236A6A" w:rsidRDefault="00356070" w:rsidP="00E472A8">
            <w:pPr>
              <w:rPr>
                <w:b w:val="0"/>
                <w:sz w:val="22"/>
              </w:rPr>
            </w:pPr>
            <w:r>
              <w:rPr>
                <w:rFonts w:ascii="Arial" w:eastAsia="Arial" w:hAnsi="Arial" w:cs="Times New Roman"/>
              </w:rPr>
              <w:t>Validation/approval process and data quality checks performed during the exercise:</w:t>
            </w:r>
          </w:p>
        </w:tc>
        <w:tc>
          <w:tcPr>
            <w:tcW w:w="10485" w:type="dxa"/>
          </w:tcPr>
          <w:p w14:paraId="7A42758E" w14:textId="6757A22E" w:rsidR="00356070" w:rsidRPr="000B594E" w:rsidRDefault="00356070" w:rsidP="00E472A8">
            <w:pPr>
              <w:cnfStyle w:val="000000000000" w:firstRow="0" w:lastRow="0" w:firstColumn="0" w:lastColumn="0" w:oddVBand="0" w:evenVBand="0" w:oddHBand="0" w:evenHBand="0" w:firstRowFirstColumn="0" w:firstRowLastColumn="0" w:lastRowFirstColumn="0" w:lastRowLastColumn="0"/>
            </w:pPr>
            <w:r w:rsidRPr="6058A18D">
              <w:rPr>
                <w:rFonts w:ascii="Arial" w:eastAsia="Arial" w:hAnsi="Arial" w:cs="Times New Roman"/>
                <w:i/>
                <w:iCs/>
              </w:rPr>
              <w:t>[</w:t>
            </w:r>
            <w:r>
              <w:rPr>
                <w:rFonts w:ascii="Arial" w:eastAsia="Arial" w:hAnsi="Arial" w:cs="Times New Roman"/>
                <w:i/>
                <w:iCs/>
              </w:rPr>
              <w:t>Bank</w:t>
            </w:r>
            <w:r w:rsidRPr="6058A18D">
              <w:rPr>
                <w:rFonts w:ascii="Arial" w:eastAsia="Arial" w:hAnsi="Arial" w:cs="Times New Roman"/>
                <w:i/>
                <w:iCs/>
              </w:rPr>
              <w:t xml:space="preserve">s </w:t>
            </w:r>
            <w:r w:rsidR="00E53D21">
              <w:rPr>
                <w:rFonts w:ascii="Arial" w:eastAsia="Arial" w:hAnsi="Arial" w:cs="Times New Roman"/>
                <w:i/>
                <w:iCs/>
              </w:rPr>
              <w:t>should</w:t>
            </w:r>
            <w:r w:rsidRPr="6058A18D">
              <w:rPr>
                <w:rFonts w:ascii="Arial" w:eastAsia="Arial" w:hAnsi="Arial" w:cs="Times New Roman"/>
                <w:i/>
                <w:iCs/>
              </w:rPr>
              <w:t xml:space="preserve"> explain the data quality and approval processes performed during the exercise.]</w:t>
            </w:r>
          </w:p>
        </w:tc>
      </w:tr>
      <w:bookmarkEnd w:id="0"/>
      <w:bookmarkEnd w:id="14"/>
      <w:bookmarkEnd w:id="15"/>
    </w:tbl>
    <w:p w14:paraId="03C11CBF" w14:textId="18BA1845" w:rsidR="003C3022" w:rsidRPr="003C3022" w:rsidRDefault="003C3022" w:rsidP="00356070"/>
    <w:sectPr w:rsidR="003C3022" w:rsidRPr="003C3022" w:rsidSect="00EA3093">
      <w:headerReference w:type="default" r:id="rId13"/>
      <w:footerReference w:type="default" r:id="rId14"/>
      <w:headerReference w:type="first" r:id="rId15"/>
      <w:footerReference w:type="first" r:id="rId16"/>
      <w:type w:val="continuous"/>
      <w:pgSz w:w="16838" w:h="11906" w:orient="landscape" w:code="9"/>
      <w:pgMar w:top="1134" w:right="1135" w:bottom="1134" w:left="1843" w:header="57"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F9DCA" w14:textId="77777777" w:rsidR="002D2D17" w:rsidRDefault="002D2D17" w:rsidP="00AA7711">
      <w:r>
        <w:separator/>
      </w:r>
    </w:p>
  </w:endnote>
  <w:endnote w:type="continuationSeparator" w:id="0">
    <w:p w14:paraId="46F5353F" w14:textId="77777777" w:rsidR="002D2D17" w:rsidRDefault="002D2D17" w:rsidP="00AA7711">
      <w:r>
        <w:continuationSeparator/>
      </w:r>
    </w:p>
  </w:endnote>
  <w:endnote w:type="continuationNotice" w:id="1">
    <w:p w14:paraId="0D4F3471" w14:textId="77777777" w:rsidR="002D2D17" w:rsidRDefault="002D2D1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014502"/>
      <w:docPartObj>
        <w:docPartGallery w:val="Page Numbers (Bottom of Page)"/>
        <w:docPartUnique/>
      </w:docPartObj>
    </w:sdtPr>
    <w:sdtEndPr/>
    <w:sdtContent>
      <w:p w14:paraId="5B1F3D6F" w14:textId="7342939E" w:rsidR="000A2EF6" w:rsidRDefault="000A2EF6">
        <w:pPr>
          <w:pStyle w:val="Footer"/>
          <w:jc w:val="right"/>
        </w:pPr>
        <w:r>
          <w:fldChar w:fldCharType="begin"/>
        </w:r>
        <w:r>
          <w:instrText>PAGE   \* MERGEFORMAT</w:instrText>
        </w:r>
        <w:r>
          <w:fldChar w:fldCharType="separate"/>
        </w:r>
        <w:r>
          <w:t>2</w:t>
        </w:r>
        <w:r>
          <w:fldChar w:fldCharType="end"/>
        </w:r>
      </w:p>
    </w:sdtContent>
  </w:sdt>
  <w:p w14:paraId="62CC749C" w14:textId="77777777" w:rsidR="007568D0" w:rsidRPr="00502309" w:rsidRDefault="007568D0" w:rsidP="00502309">
    <w:pPr>
      <w:tabs>
        <w:tab w:val="center" w:pos="4536"/>
        <w:tab w:val="right" w:pos="9072"/>
      </w:tabs>
      <w:spacing w:line="240" w:lineRule="auto"/>
      <w:rPr>
        <w:rFonts w:ascii="Arial" w:eastAsia="Arial" w:hAnsi="Arial"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7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426"/>
      <w:gridCol w:w="2326"/>
      <w:gridCol w:w="9638"/>
    </w:tblGrid>
    <w:tr w:rsidR="00F1399F" w:rsidRPr="006A4F40" w14:paraId="1E9D5D9B" w14:textId="77777777" w:rsidTr="0045154C">
      <w:trPr>
        <w:trHeight w:val="20"/>
      </w:trPr>
      <w:tc>
        <w:tcPr>
          <w:tcW w:w="3402" w:type="dxa"/>
        </w:tcPr>
        <w:p w14:paraId="207D7E1E" w14:textId="580CA8EC" w:rsidR="00F1399F" w:rsidRPr="008F7143" w:rsidRDefault="00F1399F" w:rsidP="00F1399F">
          <w:pPr>
            <w:pStyle w:val="Footer"/>
            <w:spacing w:before="60"/>
            <w:rPr>
              <w:color w:val="005EB8"/>
              <w:sz w:val="16"/>
              <w:szCs w:val="16"/>
            </w:rPr>
          </w:pPr>
        </w:p>
      </w:tc>
      <w:tc>
        <w:tcPr>
          <w:tcW w:w="2426" w:type="dxa"/>
        </w:tcPr>
        <w:p w14:paraId="095C014B" w14:textId="52E28B73" w:rsidR="00F1399F" w:rsidRPr="00002120" w:rsidRDefault="00F1399F" w:rsidP="00EA3093">
          <w:pPr>
            <w:pStyle w:val="Footer"/>
            <w:spacing w:before="60"/>
            <w:jc w:val="left"/>
            <w:rPr>
              <w:sz w:val="16"/>
              <w:szCs w:val="16"/>
            </w:rPr>
          </w:pPr>
        </w:p>
      </w:tc>
      <w:tc>
        <w:tcPr>
          <w:tcW w:w="2326" w:type="dxa"/>
        </w:tcPr>
        <w:p w14:paraId="29AA5D29" w14:textId="4A344908" w:rsidR="00F1399F" w:rsidRPr="00137107" w:rsidRDefault="00F1399F" w:rsidP="00EA3093">
          <w:pPr>
            <w:pStyle w:val="Footer"/>
            <w:spacing w:before="60"/>
            <w:ind w:left="-106"/>
            <w:jc w:val="left"/>
            <w:rPr>
              <w:noProof/>
              <w:sz w:val="16"/>
              <w:szCs w:val="16"/>
              <w:lang w:val="fr-FR"/>
            </w:rPr>
          </w:pPr>
        </w:p>
      </w:tc>
      <w:tc>
        <w:tcPr>
          <w:tcW w:w="9638" w:type="dxa"/>
        </w:tcPr>
        <w:p w14:paraId="07C4A93E" w14:textId="1BC4F378" w:rsidR="00F1399F" w:rsidRPr="00137107" w:rsidRDefault="00F1399F" w:rsidP="00EA3093">
          <w:pPr>
            <w:pStyle w:val="Footer"/>
            <w:spacing w:before="60"/>
            <w:rPr>
              <w:noProof/>
              <w:sz w:val="16"/>
              <w:szCs w:val="16"/>
              <w:lang w:val="fr-FR"/>
            </w:rPr>
          </w:pPr>
        </w:p>
      </w:tc>
    </w:tr>
  </w:tbl>
  <w:p w14:paraId="161CD1FC" w14:textId="77777777" w:rsidR="00D67D0F" w:rsidRPr="00F1399F" w:rsidRDefault="00D67D0F" w:rsidP="00F1399F">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EE2BB" w14:textId="77777777" w:rsidR="002D2D17" w:rsidRPr="00E82910" w:rsidRDefault="002D2D17" w:rsidP="00AA7711">
      <w:pPr>
        <w:rPr>
          <w:color w:val="005EB8" w:themeColor="text2"/>
        </w:rPr>
      </w:pPr>
      <w:r w:rsidRPr="00E82910">
        <w:rPr>
          <w:color w:val="005EB8" w:themeColor="text2"/>
        </w:rPr>
        <w:separator/>
      </w:r>
    </w:p>
  </w:footnote>
  <w:footnote w:type="continuationSeparator" w:id="0">
    <w:p w14:paraId="26DE5F4B" w14:textId="77777777" w:rsidR="002D2D17" w:rsidRPr="00E82910" w:rsidRDefault="002D2D17" w:rsidP="00AA7711">
      <w:pPr>
        <w:rPr>
          <w:color w:val="005EB8" w:themeColor="text2"/>
        </w:rPr>
      </w:pPr>
      <w:r w:rsidRPr="00E82910">
        <w:rPr>
          <w:color w:val="005EB8" w:themeColor="text2"/>
        </w:rPr>
        <w:continuationSeparator/>
      </w:r>
    </w:p>
  </w:footnote>
  <w:footnote w:type="continuationNotice" w:id="1">
    <w:p w14:paraId="162D043B" w14:textId="77777777" w:rsidR="002D2D17" w:rsidRDefault="002D2D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F671" w14:textId="77777777" w:rsidR="001B0996" w:rsidRDefault="001B0996" w:rsidP="001B0996">
    <w:pPr>
      <w:pStyle w:val="Header"/>
    </w:pPr>
    <w:r>
      <w:rPr>
        <w:noProof/>
        <w:lang w:eastAsia="en-GB"/>
      </w:rPr>
      <w:drawing>
        <wp:anchor distT="0" distB="0" distL="114300" distR="114300" simplePos="0" relativeHeight="251658241" behindDoc="0" locked="1" layoutInCell="1" allowOverlap="1" wp14:anchorId="746A8F21" wp14:editId="3701CABE">
          <wp:simplePos x="0" y="0"/>
          <wp:positionH relativeFrom="page">
            <wp:posOffset>540385</wp:posOffset>
          </wp:positionH>
          <wp:positionV relativeFrom="page">
            <wp:posOffset>540385</wp:posOffset>
          </wp:positionV>
          <wp:extent cx="1173600" cy="507600"/>
          <wp:effectExtent l="0" t="0" r="7620" b="6985"/>
          <wp:wrapTight wrapText="bothSides">
            <wp:wrapPolygon edited="0">
              <wp:start x="3857" y="0"/>
              <wp:lineTo x="0" y="811"/>
              <wp:lineTo x="0" y="12165"/>
              <wp:lineTo x="351" y="18653"/>
              <wp:lineTo x="3506" y="21086"/>
              <wp:lineTo x="5610" y="21086"/>
              <wp:lineTo x="9117" y="21086"/>
              <wp:lineTo x="18584" y="15409"/>
              <wp:lineTo x="21390" y="12165"/>
              <wp:lineTo x="21390" y="4055"/>
              <wp:lineTo x="5260" y="0"/>
              <wp:lineTo x="3857"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3600" cy="507600"/>
                  </a:xfrm>
                  <a:prstGeom prst="rect">
                    <a:avLst/>
                  </a:prstGeom>
                </pic:spPr>
              </pic:pic>
            </a:graphicData>
          </a:graphic>
          <wp14:sizeRelH relativeFrom="margin">
            <wp14:pctWidth>0</wp14:pctWidth>
          </wp14:sizeRelH>
          <wp14:sizeRelV relativeFrom="margin">
            <wp14:pctHeight>0</wp14:pctHeight>
          </wp14:sizeRelV>
        </wp:anchor>
      </w:drawing>
    </w:r>
  </w:p>
  <w:p w14:paraId="59192E15" w14:textId="77777777" w:rsidR="0043375F" w:rsidRDefault="0043375F" w:rsidP="004566AA">
    <w:pPr>
      <w:pStyle w:val="GREENlevel"/>
    </w:pPr>
  </w:p>
  <w:p w14:paraId="3609BE29" w14:textId="77777777" w:rsidR="004566AA" w:rsidRDefault="004566AA" w:rsidP="004566AA">
    <w:pPr>
      <w:pStyle w:val="GREENlevel"/>
      <w:rPr>
        <w:szCs w:val="18"/>
      </w:rPr>
    </w:pPr>
  </w:p>
  <w:p w14:paraId="2ED0FF44" w14:textId="77777777" w:rsidR="00E05FDA" w:rsidRDefault="00E05FDA" w:rsidP="00F87BED">
    <w:pPr>
      <w:pStyle w:val="Header"/>
      <w:rPr>
        <w:szCs w:val="18"/>
      </w:rPr>
    </w:pPr>
  </w:p>
  <w:p w14:paraId="22DD9B69" w14:textId="77777777" w:rsidR="00E05FDA" w:rsidRDefault="00E05FDA" w:rsidP="00E05FDA">
    <w:pPr>
      <w:pStyle w:val="Header"/>
      <w:jc w:val="right"/>
      <w:rPr>
        <w:szCs w:val="18"/>
      </w:rPr>
    </w:pPr>
  </w:p>
  <w:p w14:paraId="2A9FDE77" w14:textId="77777777" w:rsidR="00E05FDA" w:rsidRDefault="00E05FDA" w:rsidP="00E05FD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B972" w14:textId="77777777" w:rsidR="001B0996" w:rsidRDefault="001B0996">
    <w:pPr>
      <w:pStyle w:val="Header"/>
    </w:pPr>
    <w:r>
      <w:rPr>
        <w:noProof/>
        <w:lang w:eastAsia="en-GB"/>
      </w:rPr>
      <w:drawing>
        <wp:anchor distT="0" distB="0" distL="114300" distR="114300" simplePos="0" relativeHeight="251658240" behindDoc="0" locked="1" layoutInCell="1" allowOverlap="1" wp14:anchorId="5ACBA846" wp14:editId="520369AF">
          <wp:simplePos x="0" y="0"/>
          <wp:positionH relativeFrom="page">
            <wp:posOffset>540385</wp:posOffset>
          </wp:positionH>
          <wp:positionV relativeFrom="page">
            <wp:posOffset>540385</wp:posOffset>
          </wp:positionV>
          <wp:extent cx="2080800" cy="900000"/>
          <wp:effectExtent l="0" t="0" r="0" b="0"/>
          <wp:wrapTight wrapText="bothSides">
            <wp:wrapPolygon edited="0">
              <wp:start x="4154" y="0"/>
              <wp:lineTo x="2176" y="1372"/>
              <wp:lineTo x="396" y="5030"/>
              <wp:lineTo x="0" y="10061"/>
              <wp:lineTo x="0" y="10975"/>
              <wp:lineTo x="198" y="16463"/>
              <wp:lineTo x="2769" y="21036"/>
              <wp:lineTo x="3758" y="21036"/>
              <wp:lineTo x="5341" y="21036"/>
              <wp:lineTo x="7714" y="21036"/>
              <wp:lineTo x="18198" y="16006"/>
              <wp:lineTo x="18198" y="14634"/>
              <wp:lineTo x="21363" y="11890"/>
              <wp:lineTo x="21363" y="9603"/>
              <wp:lineTo x="18396" y="5945"/>
              <wp:lineTo x="14835" y="4116"/>
              <wp:lineTo x="4945" y="0"/>
              <wp:lineTo x="4154"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C8C6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1CBA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4095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E0A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5AB1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9ECA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5657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CA01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805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EA3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0CC2"/>
    <w:multiLevelType w:val="multilevel"/>
    <w:tmpl w:val="D13ED07C"/>
    <w:lvl w:ilvl="0">
      <w:start w:val="1"/>
      <w:numFmt w:val="bullet"/>
      <w:pStyle w:val="ListBullet"/>
      <w:lvlText w:val=""/>
      <w:lvlJc w:val="left"/>
      <w:pPr>
        <w:ind w:left="720" w:hanging="360"/>
      </w:pPr>
      <w:rPr>
        <w:rFonts w:ascii="Symbol" w:hAnsi="Symbol" w:hint="default"/>
        <w:caps w:val="0"/>
        <w:strike w:val="0"/>
        <w:dstrike w:val="0"/>
        <w:vanish w:val="0"/>
        <w:color w:val="FFCD00" w:themeColor="accent2"/>
        <w:u w:val="none"/>
        <w:vertAlign w:val="baseline"/>
      </w:rPr>
    </w:lvl>
    <w:lvl w:ilvl="1">
      <w:start w:val="1"/>
      <w:numFmt w:val="bullet"/>
      <w:pStyle w:val="ListBullet2"/>
      <w:lvlText w:val=""/>
      <w:lvlJc w:val="left"/>
      <w:pPr>
        <w:ind w:left="1440" w:hanging="360"/>
      </w:pPr>
      <w:rPr>
        <w:rFonts w:ascii="Symbol" w:hAnsi="Symbol" w:hint="default"/>
        <w:color w:val="005EB8" w:themeColor="text2"/>
      </w:rPr>
    </w:lvl>
    <w:lvl w:ilvl="2">
      <w:start w:val="1"/>
      <w:numFmt w:val="bullet"/>
      <w:pStyle w:val="ListBullet3"/>
      <w:lvlText w:val=""/>
      <w:lvlJc w:val="left"/>
      <w:pPr>
        <w:ind w:left="2160" w:hanging="360"/>
      </w:pPr>
      <w:rPr>
        <w:rFonts w:ascii="Symbol" w:hAnsi="Symbol" w:hint="default"/>
        <w:color w:val="5E93DB" w:themeColor="accent1"/>
      </w:rPr>
    </w:lvl>
    <w:lvl w:ilvl="3">
      <w:start w:val="1"/>
      <w:numFmt w:val="bullet"/>
      <w:pStyle w:val="ListBullet4"/>
      <w:lvlText w:val=""/>
      <w:lvlJc w:val="left"/>
      <w:pPr>
        <w:ind w:left="2880" w:hanging="360"/>
      </w:pPr>
      <w:rPr>
        <w:rFonts w:ascii="Symbol" w:hAnsi="Symbol" w:hint="default"/>
        <w:color w:val="575756" w:themeColor="background2"/>
      </w:rPr>
    </w:lvl>
    <w:lvl w:ilvl="4">
      <w:start w:val="1"/>
      <w:numFmt w:val="bullet"/>
      <w:pStyle w:val="ListBullet5"/>
      <w:lvlText w:val=""/>
      <w:lvlJc w:val="left"/>
      <w:pPr>
        <w:ind w:left="3600" w:hanging="360"/>
      </w:pPr>
      <w:rPr>
        <w:rFonts w:ascii="Symbol" w:hAnsi="Symbol" w:hint="default"/>
        <w:color w:val="005EB8" w:themeColor="text2"/>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204D5E"/>
    <w:multiLevelType w:val="hybridMultilevel"/>
    <w:tmpl w:val="652EF8FE"/>
    <w:lvl w:ilvl="0" w:tplc="3686FF50">
      <w:start w:val="1"/>
      <w:numFmt w:val="lowerLetter"/>
      <w:lvlText w:val="%1)"/>
      <w:lvlJc w:val="left"/>
      <w:pPr>
        <w:ind w:left="720" w:hanging="360"/>
      </w:pPr>
      <w:rPr>
        <w:rFonts w:asciiTheme="minorHAnsi" w:eastAsiaTheme="minorHAnsi" w:hAnsiTheme="minorHAnsi" w:cstheme="minorBidi"/>
        <w:b/>
        <w:bCs/>
      </w:rPr>
    </w:lvl>
    <w:lvl w:ilvl="1" w:tplc="55ECCEE2">
      <w:start w:val="1"/>
      <w:numFmt w:val="lowerRoman"/>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21D161C"/>
    <w:multiLevelType w:val="hybridMultilevel"/>
    <w:tmpl w:val="CCE2B3BC"/>
    <w:lvl w:ilvl="0" w:tplc="E5880E78">
      <w:start w:val="1"/>
      <w:numFmt w:val="lowerRoman"/>
      <w:lvlText w:val="%1)"/>
      <w:lvlJc w:val="right"/>
      <w:pPr>
        <w:ind w:left="720" w:hanging="360"/>
      </w:pPr>
      <w:rPr>
        <w:rFonts w:ascii="Arial" w:hAnsi="Arial" w:hint="default"/>
        <w:b w:val="0"/>
        <w:bCs/>
        <w:i w:val="0"/>
        <w:strike w:val="0"/>
        <w:dstrike w:val="0"/>
        <w:color w:val="000000"/>
        <w:sz w:val="18"/>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DD4BF4"/>
    <w:multiLevelType w:val="hybridMultilevel"/>
    <w:tmpl w:val="652EF8FE"/>
    <w:lvl w:ilvl="0" w:tplc="3686FF50">
      <w:start w:val="1"/>
      <w:numFmt w:val="lowerLetter"/>
      <w:lvlText w:val="%1)"/>
      <w:lvlJc w:val="left"/>
      <w:pPr>
        <w:ind w:left="720" w:hanging="360"/>
      </w:pPr>
      <w:rPr>
        <w:rFonts w:asciiTheme="minorHAnsi" w:eastAsiaTheme="minorHAnsi" w:hAnsiTheme="minorHAnsi" w:cstheme="minorBidi"/>
        <w:b/>
        <w:bCs/>
      </w:rPr>
    </w:lvl>
    <w:lvl w:ilvl="1" w:tplc="55ECCEE2">
      <w:start w:val="1"/>
      <w:numFmt w:val="lowerRoman"/>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ADA4F2C"/>
    <w:multiLevelType w:val="hybridMultilevel"/>
    <w:tmpl w:val="652EF8FE"/>
    <w:lvl w:ilvl="0" w:tplc="3686FF50">
      <w:start w:val="1"/>
      <w:numFmt w:val="lowerLetter"/>
      <w:lvlText w:val="%1)"/>
      <w:lvlJc w:val="left"/>
      <w:pPr>
        <w:ind w:left="720" w:hanging="360"/>
      </w:pPr>
      <w:rPr>
        <w:rFonts w:asciiTheme="minorHAnsi" w:eastAsiaTheme="minorHAnsi" w:hAnsiTheme="minorHAnsi" w:cstheme="minorBidi"/>
        <w:b/>
        <w:bCs/>
      </w:rPr>
    </w:lvl>
    <w:lvl w:ilvl="1" w:tplc="55ECCEE2">
      <w:start w:val="1"/>
      <w:numFmt w:val="lowerRoman"/>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C744ED4"/>
    <w:multiLevelType w:val="hybridMultilevel"/>
    <w:tmpl w:val="8C0041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2F30078"/>
    <w:multiLevelType w:val="hybridMultilevel"/>
    <w:tmpl w:val="554250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3791157"/>
    <w:multiLevelType w:val="hybridMultilevel"/>
    <w:tmpl w:val="F5D812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46448D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2F261D"/>
    <w:multiLevelType w:val="hybridMultilevel"/>
    <w:tmpl w:val="8D82254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2B1D44BF"/>
    <w:multiLevelType w:val="hybridMultilevel"/>
    <w:tmpl w:val="16C2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FD21C0"/>
    <w:multiLevelType w:val="hybridMultilevel"/>
    <w:tmpl w:val="FEAEE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A8196D"/>
    <w:multiLevelType w:val="hybridMultilevel"/>
    <w:tmpl w:val="25CA2CB2"/>
    <w:lvl w:ilvl="0" w:tplc="226C02D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7B14FA5"/>
    <w:multiLevelType w:val="hybridMultilevel"/>
    <w:tmpl w:val="A2F2BEF0"/>
    <w:lvl w:ilvl="0" w:tplc="7DDE373C">
      <w:start w:val="1"/>
      <w:numFmt w:val="decimal"/>
      <w:lvlText w:val="%1."/>
      <w:lvlJc w:val="left"/>
      <w:pPr>
        <w:ind w:left="1080" w:hanging="360"/>
      </w:pPr>
      <w:rPr>
        <w:rFonts w:hint="default"/>
        <w:color w:val="005EB8" w:themeColor="text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86E05E4"/>
    <w:multiLevelType w:val="hybridMultilevel"/>
    <w:tmpl w:val="32B48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1047AD"/>
    <w:multiLevelType w:val="hybridMultilevel"/>
    <w:tmpl w:val="0F36C6B0"/>
    <w:lvl w:ilvl="0" w:tplc="9188A1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AC711BC"/>
    <w:multiLevelType w:val="hybridMultilevel"/>
    <w:tmpl w:val="C9A095DE"/>
    <w:lvl w:ilvl="0" w:tplc="CC4C38CA">
      <w:start w:val="1"/>
      <w:numFmt w:val="decimal"/>
      <w:pStyle w:val="NumberingLIST"/>
      <w:lvlText w:val="%1."/>
      <w:lvlJc w:val="left"/>
      <w:pPr>
        <w:ind w:left="1080" w:hanging="360"/>
      </w:pPr>
      <w:rPr>
        <w:rFonts w:hint="default"/>
        <w:color w:val="005EB8"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E21DA4"/>
    <w:multiLevelType w:val="hybridMultilevel"/>
    <w:tmpl w:val="C1CE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873449"/>
    <w:multiLevelType w:val="hybridMultilevel"/>
    <w:tmpl w:val="1D8CF6EE"/>
    <w:lvl w:ilvl="0" w:tplc="C7B61C62">
      <w:start w:val="1"/>
      <w:numFmt w:val="bullet"/>
      <w:pStyle w:val="ListParagraph"/>
      <w:lvlText w:val="•"/>
      <w:lvlJc w:val="left"/>
      <w:pPr>
        <w:ind w:left="1080" w:hanging="720"/>
      </w:pPr>
      <w:rPr>
        <w:rFonts w:ascii="Arial" w:hAnsi="Arial" w:hint="default"/>
        <w:b w:val="0"/>
        <w:i w:val="0"/>
        <w:caps w:val="0"/>
        <w:strike w:val="0"/>
        <w:dstrike w:val="0"/>
        <w:vanish w:val="0"/>
        <w:color w:val="005EB8" w:themeColor="accent3"/>
        <w:sz w:val="20"/>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0064C6"/>
    <w:multiLevelType w:val="hybridMultilevel"/>
    <w:tmpl w:val="AA26DF4E"/>
    <w:lvl w:ilvl="0" w:tplc="558C42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1A4F2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00344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5E5C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302B6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20C82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A439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A6F65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D6705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5AE77EA"/>
    <w:multiLevelType w:val="hybridMultilevel"/>
    <w:tmpl w:val="F95E1CA6"/>
    <w:lvl w:ilvl="0" w:tplc="2238440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48C45C8D"/>
    <w:multiLevelType w:val="hybridMultilevel"/>
    <w:tmpl w:val="CCE2B3BC"/>
    <w:lvl w:ilvl="0" w:tplc="E5880E78">
      <w:start w:val="1"/>
      <w:numFmt w:val="lowerRoman"/>
      <w:lvlText w:val="%1)"/>
      <w:lvlJc w:val="right"/>
      <w:pPr>
        <w:ind w:left="720" w:hanging="360"/>
      </w:pPr>
      <w:rPr>
        <w:rFonts w:ascii="Arial" w:hAnsi="Arial" w:hint="default"/>
        <w:b w:val="0"/>
        <w:bCs/>
        <w:i w:val="0"/>
        <w:strike w:val="0"/>
        <w:dstrike w:val="0"/>
        <w:color w:val="000000"/>
        <w:sz w:val="18"/>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276631"/>
    <w:multiLevelType w:val="hybridMultilevel"/>
    <w:tmpl w:val="73865E14"/>
    <w:lvl w:ilvl="0" w:tplc="7D8A9C9A">
      <w:start w:val="1"/>
      <w:numFmt w:val="decimal"/>
      <w:lvlText w:val="%1."/>
      <w:lvlJc w:val="left"/>
      <w:pPr>
        <w:ind w:left="720" w:hanging="360"/>
      </w:pPr>
      <w:rPr>
        <w:rFonts w:hint="default"/>
        <w:color w:val="005EB8" w:themeColor="text2"/>
      </w:rPr>
    </w:lvl>
    <w:lvl w:ilvl="1" w:tplc="8FB2481A">
      <w:start w:val="1"/>
      <w:numFmt w:val="lowerLetter"/>
      <w:lvlText w:val="%2."/>
      <w:lvlJc w:val="left"/>
      <w:pPr>
        <w:ind w:left="144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4DEC22A7"/>
    <w:multiLevelType w:val="hybridMultilevel"/>
    <w:tmpl w:val="8FD8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3C054E"/>
    <w:multiLevelType w:val="hybridMultilevel"/>
    <w:tmpl w:val="64E064C8"/>
    <w:lvl w:ilvl="0" w:tplc="E9F4BA8C">
      <w:start w:val="1"/>
      <w:numFmt w:val="decimal"/>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9549B5C">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FF49F3C">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322F46A">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F06A266">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ED85D1E">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27C87AE">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DC61CC8">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110829E">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8A44230"/>
    <w:multiLevelType w:val="hybridMultilevel"/>
    <w:tmpl w:val="D3AAC9FA"/>
    <w:lvl w:ilvl="0" w:tplc="35B0E8E2">
      <w:start w:val="9"/>
      <w:numFmt w:val="decimal"/>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828D61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2C686AA">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C8EA18">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30EC7A6">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650C55E">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4022D4A">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3FAD940">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336048E">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56B0BE1"/>
    <w:multiLevelType w:val="hybridMultilevel"/>
    <w:tmpl w:val="245C4C6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7" w15:restartNumberingAfterBreak="0">
    <w:nsid w:val="6C735635"/>
    <w:multiLevelType w:val="hybridMultilevel"/>
    <w:tmpl w:val="D30E7D98"/>
    <w:lvl w:ilvl="0" w:tplc="D47E937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0A366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A0296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28C16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9EEE5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FC3C9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9ABA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C44BA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5A663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0D860AA"/>
    <w:multiLevelType w:val="hybridMultilevel"/>
    <w:tmpl w:val="EA9A9AC6"/>
    <w:lvl w:ilvl="0" w:tplc="A85EC4EA">
      <w:numFmt w:val="bullet"/>
      <w:lvlText w:val="•"/>
      <w:lvlJc w:val="left"/>
      <w:pPr>
        <w:ind w:left="1080" w:hanging="72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3361D42"/>
    <w:multiLevelType w:val="hybridMultilevel"/>
    <w:tmpl w:val="A176D46E"/>
    <w:lvl w:ilvl="0" w:tplc="0FD2375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39"/>
  </w:num>
  <w:num w:numId="3">
    <w:abstractNumId w:val="30"/>
  </w:num>
  <w:num w:numId="4">
    <w:abstractNumId w:val="17"/>
  </w:num>
  <w:num w:numId="5">
    <w:abstractNumId w:val="38"/>
  </w:num>
  <w:num w:numId="6">
    <w:abstractNumId w:val="32"/>
  </w:num>
  <w:num w:numId="7">
    <w:abstractNumId w:val="16"/>
  </w:num>
  <w:num w:numId="8">
    <w:abstractNumId w:val="15"/>
  </w:num>
  <w:num w:numId="9">
    <w:abstractNumId w:val="19"/>
  </w:num>
  <w:num w:numId="10">
    <w:abstractNumId w:val="18"/>
  </w:num>
  <w:num w:numId="11">
    <w:abstractNumId w:val="2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4"/>
  </w:num>
  <w:num w:numId="23">
    <w:abstractNumId w:val="37"/>
  </w:num>
  <w:num w:numId="24">
    <w:abstractNumId w:val="29"/>
  </w:num>
  <w:num w:numId="25">
    <w:abstractNumId w:val="35"/>
  </w:num>
  <w:num w:numId="26">
    <w:abstractNumId w:val="10"/>
  </w:num>
  <w:num w:numId="27">
    <w:abstractNumId w:val="28"/>
  </w:num>
  <w:num w:numId="28">
    <w:abstractNumId w:val="23"/>
  </w:num>
  <w:num w:numId="29">
    <w:abstractNumId w:val="26"/>
  </w:num>
  <w:num w:numId="30">
    <w:abstractNumId w:val="32"/>
    <w:lvlOverride w:ilvl="0">
      <w:startOverride w:val="1"/>
    </w:lvlOverride>
  </w:num>
  <w:num w:numId="31">
    <w:abstractNumId w:val="22"/>
  </w:num>
  <w:num w:numId="32">
    <w:abstractNumId w:val="24"/>
  </w:num>
  <w:num w:numId="33">
    <w:abstractNumId w:val="11"/>
  </w:num>
  <w:num w:numId="34">
    <w:abstractNumId w:val="14"/>
  </w:num>
  <w:num w:numId="35">
    <w:abstractNumId w:val="13"/>
  </w:num>
  <w:num w:numId="36">
    <w:abstractNumId w:val="20"/>
  </w:num>
  <w:num w:numId="37">
    <w:abstractNumId w:val="33"/>
  </w:num>
  <w:num w:numId="38">
    <w:abstractNumId w:val="21"/>
  </w:num>
  <w:num w:numId="39">
    <w:abstractNumId w:val="12"/>
  </w:num>
  <w:num w:numId="40">
    <w:abstractNumId w:val="31"/>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8E"/>
    <w:rsid w:val="000008A8"/>
    <w:rsid w:val="000315D8"/>
    <w:rsid w:val="000323F0"/>
    <w:rsid w:val="00034109"/>
    <w:rsid w:val="00035C8A"/>
    <w:rsid w:val="00036AD9"/>
    <w:rsid w:val="000509BE"/>
    <w:rsid w:val="00064E02"/>
    <w:rsid w:val="000723E4"/>
    <w:rsid w:val="00074E7D"/>
    <w:rsid w:val="00077901"/>
    <w:rsid w:val="000A2ADD"/>
    <w:rsid w:val="000A2EF6"/>
    <w:rsid w:val="000B4322"/>
    <w:rsid w:val="000C0F17"/>
    <w:rsid w:val="000C30D0"/>
    <w:rsid w:val="00104672"/>
    <w:rsid w:val="00122A15"/>
    <w:rsid w:val="00142CAB"/>
    <w:rsid w:val="00144B5E"/>
    <w:rsid w:val="00147AA2"/>
    <w:rsid w:val="0015547C"/>
    <w:rsid w:val="00194B08"/>
    <w:rsid w:val="00197E15"/>
    <w:rsid w:val="001A0492"/>
    <w:rsid w:val="001A233D"/>
    <w:rsid w:val="001B0996"/>
    <w:rsid w:val="001B292D"/>
    <w:rsid w:val="001B6662"/>
    <w:rsid w:val="001D326F"/>
    <w:rsid w:val="00217734"/>
    <w:rsid w:val="0023029D"/>
    <w:rsid w:val="00235FA2"/>
    <w:rsid w:val="00263938"/>
    <w:rsid w:val="0026394E"/>
    <w:rsid w:val="00275FB3"/>
    <w:rsid w:val="00276BB3"/>
    <w:rsid w:val="0028338B"/>
    <w:rsid w:val="0028617C"/>
    <w:rsid w:val="00294A93"/>
    <w:rsid w:val="00297133"/>
    <w:rsid w:val="002B0BF1"/>
    <w:rsid w:val="002B7926"/>
    <w:rsid w:val="002C0C49"/>
    <w:rsid w:val="002D2D17"/>
    <w:rsid w:val="00306890"/>
    <w:rsid w:val="00311728"/>
    <w:rsid w:val="00313AC1"/>
    <w:rsid w:val="00321A93"/>
    <w:rsid w:val="00342F33"/>
    <w:rsid w:val="00343308"/>
    <w:rsid w:val="00351504"/>
    <w:rsid w:val="00356070"/>
    <w:rsid w:val="003657A2"/>
    <w:rsid w:val="003658FE"/>
    <w:rsid w:val="0038703D"/>
    <w:rsid w:val="003C3022"/>
    <w:rsid w:val="003C551E"/>
    <w:rsid w:val="003D22B1"/>
    <w:rsid w:val="003D36F1"/>
    <w:rsid w:val="003D6B3D"/>
    <w:rsid w:val="003D7294"/>
    <w:rsid w:val="003E4470"/>
    <w:rsid w:val="003F2B5D"/>
    <w:rsid w:val="003F64C8"/>
    <w:rsid w:val="0041507B"/>
    <w:rsid w:val="00420D0A"/>
    <w:rsid w:val="00424D93"/>
    <w:rsid w:val="00427931"/>
    <w:rsid w:val="004300AD"/>
    <w:rsid w:val="0043375F"/>
    <w:rsid w:val="00440766"/>
    <w:rsid w:val="0044677C"/>
    <w:rsid w:val="004566AA"/>
    <w:rsid w:val="004B34EF"/>
    <w:rsid w:val="004B67D1"/>
    <w:rsid w:val="004D5F56"/>
    <w:rsid w:val="004F7E60"/>
    <w:rsid w:val="00502309"/>
    <w:rsid w:val="005105E1"/>
    <w:rsid w:val="005220E0"/>
    <w:rsid w:val="005323A6"/>
    <w:rsid w:val="00564EBC"/>
    <w:rsid w:val="00585DF5"/>
    <w:rsid w:val="005867B0"/>
    <w:rsid w:val="00593418"/>
    <w:rsid w:val="005A4903"/>
    <w:rsid w:val="005B19A4"/>
    <w:rsid w:val="005B6F21"/>
    <w:rsid w:val="005C4770"/>
    <w:rsid w:val="005D5660"/>
    <w:rsid w:val="005F1CB6"/>
    <w:rsid w:val="005F61D9"/>
    <w:rsid w:val="00621CA3"/>
    <w:rsid w:val="00622E32"/>
    <w:rsid w:val="00640529"/>
    <w:rsid w:val="00656EEE"/>
    <w:rsid w:val="00662515"/>
    <w:rsid w:val="00677C32"/>
    <w:rsid w:val="00680E7D"/>
    <w:rsid w:val="00683A81"/>
    <w:rsid w:val="00692EBF"/>
    <w:rsid w:val="006A4F40"/>
    <w:rsid w:val="006D65D2"/>
    <w:rsid w:val="0070289F"/>
    <w:rsid w:val="00722319"/>
    <w:rsid w:val="007568D0"/>
    <w:rsid w:val="00762648"/>
    <w:rsid w:val="00763A06"/>
    <w:rsid w:val="00771851"/>
    <w:rsid w:val="007721DC"/>
    <w:rsid w:val="0077755D"/>
    <w:rsid w:val="00783D66"/>
    <w:rsid w:val="00785C00"/>
    <w:rsid w:val="00796E1E"/>
    <w:rsid w:val="007C3072"/>
    <w:rsid w:val="007C44C7"/>
    <w:rsid w:val="00801F2B"/>
    <w:rsid w:val="008374C4"/>
    <w:rsid w:val="00853DA7"/>
    <w:rsid w:val="00854078"/>
    <w:rsid w:val="00857092"/>
    <w:rsid w:val="00877761"/>
    <w:rsid w:val="008819E6"/>
    <w:rsid w:val="008958D0"/>
    <w:rsid w:val="008A2993"/>
    <w:rsid w:val="008A4164"/>
    <w:rsid w:val="008A5D7A"/>
    <w:rsid w:val="008B7034"/>
    <w:rsid w:val="008C3574"/>
    <w:rsid w:val="008D5539"/>
    <w:rsid w:val="008D5BA8"/>
    <w:rsid w:val="008D6437"/>
    <w:rsid w:val="008E3A30"/>
    <w:rsid w:val="00920666"/>
    <w:rsid w:val="00922E1E"/>
    <w:rsid w:val="00936390"/>
    <w:rsid w:val="00947D17"/>
    <w:rsid w:val="0095525F"/>
    <w:rsid w:val="00956C04"/>
    <w:rsid w:val="00964A05"/>
    <w:rsid w:val="0097415D"/>
    <w:rsid w:val="00976A62"/>
    <w:rsid w:val="00990C04"/>
    <w:rsid w:val="00995B6D"/>
    <w:rsid w:val="00997F3B"/>
    <w:rsid w:val="009A6EE9"/>
    <w:rsid w:val="009B1FD7"/>
    <w:rsid w:val="009E3DC4"/>
    <w:rsid w:val="009E50FA"/>
    <w:rsid w:val="009F0F17"/>
    <w:rsid w:val="009F1752"/>
    <w:rsid w:val="009F2748"/>
    <w:rsid w:val="009F4366"/>
    <w:rsid w:val="00A06A25"/>
    <w:rsid w:val="00A14C26"/>
    <w:rsid w:val="00A25157"/>
    <w:rsid w:val="00A33744"/>
    <w:rsid w:val="00A41FC1"/>
    <w:rsid w:val="00A52602"/>
    <w:rsid w:val="00A626B2"/>
    <w:rsid w:val="00A62C11"/>
    <w:rsid w:val="00A6668E"/>
    <w:rsid w:val="00A67D3C"/>
    <w:rsid w:val="00A8468D"/>
    <w:rsid w:val="00A960B5"/>
    <w:rsid w:val="00A97661"/>
    <w:rsid w:val="00AA3B3C"/>
    <w:rsid w:val="00AA5ADB"/>
    <w:rsid w:val="00AA7711"/>
    <w:rsid w:val="00AC1243"/>
    <w:rsid w:val="00AD04EC"/>
    <w:rsid w:val="00AE69E4"/>
    <w:rsid w:val="00AF7C41"/>
    <w:rsid w:val="00B059BC"/>
    <w:rsid w:val="00B114DD"/>
    <w:rsid w:val="00B37569"/>
    <w:rsid w:val="00B5389F"/>
    <w:rsid w:val="00B85609"/>
    <w:rsid w:val="00BC6BFC"/>
    <w:rsid w:val="00BD5802"/>
    <w:rsid w:val="00BD5998"/>
    <w:rsid w:val="00BE516D"/>
    <w:rsid w:val="00BF0845"/>
    <w:rsid w:val="00BF783D"/>
    <w:rsid w:val="00C1074C"/>
    <w:rsid w:val="00C11B66"/>
    <w:rsid w:val="00C247AB"/>
    <w:rsid w:val="00C64C93"/>
    <w:rsid w:val="00C75D0F"/>
    <w:rsid w:val="00C86AB6"/>
    <w:rsid w:val="00C86B25"/>
    <w:rsid w:val="00CB2F21"/>
    <w:rsid w:val="00CD6AD8"/>
    <w:rsid w:val="00CE26C7"/>
    <w:rsid w:val="00D02D08"/>
    <w:rsid w:val="00D0461D"/>
    <w:rsid w:val="00D210AF"/>
    <w:rsid w:val="00D5289B"/>
    <w:rsid w:val="00D5552E"/>
    <w:rsid w:val="00D55A84"/>
    <w:rsid w:val="00D67D0F"/>
    <w:rsid w:val="00D70067"/>
    <w:rsid w:val="00D7541C"/>
    <w:rsid w:val="00D80FF4"/>
    <w:rsid w:val="00D909E3"/>
    <w:rsid w:val="00D9271A"/>
    <w:rsid w:val="00D96200"/>
    <w:rsid w:val="00DA4764"/>
    <w:rsid w:val="00DB3D0C"/>
    <w:rsid w:val="00DB4CA7"/>
    <w:rsid w:val="00DC4088"/>
    <w:rsid w:val="00DD1D24"/>
    <w:rsid w:val="00DE3AE3"/>
    <w:rsid w:val="00DF6EB7"/>
    <w:rsid w:val="00E05FDA"/>
    <w:rsid w:val="00E23E82"/>
    <w:rsid w:val="00E2567B"/>
    <w:rsid w:val="00E42F54"/>
    <w:rsid w:val="00E46F02"/>
    <w:rsid w:val="00E50C37"/>
    <w:rsid w:val="00E53D21"/>
    <w:rsid w:val="00E55C11"/>
    <w:rsid w:val="00E70B5F"/>
    <w:rsid w:val="00E7403C"/>
    <w:rsid w:val="00E82910"/>
    <w:rsid w:val="00E93359"/>
    <w:rsid w:val="00EA3093"/>
    <w:rsid w:val="00ED69EA"/>
    <w:rsid w:val="00EE192B"/>
    <w:rsid w:val="00EE63AF"/>
    <w:rsid w:val="00EF0BC8"/>
    <w:rsid w:val="00F1399F"/>
    <w:rsid w:val="00F21C15"/>
    <w:rsid w:val="00F27ACD"/>
    <w:rsid w:val="00F56149"/>
    <w:rsid w:val="00F87BED"/>
    <w:rsid w:val="00FA5819"/>
    <w:rsid w:val="00FA6D53"/>
    <w:rsid w:val="00FA712B"/>
    <w:rsid w:val="00FC6E50"/>
    <w:rsid w:val="00FE6F36"/>
  </w:rsids>
  <m:mathPr>
    <m:mathFont m:val="Cambria Math"/>
    <m:brkBin m:val="before"/>
    <m:brkBinSub m:val="--"/>
    <m:smallFrac m:val="0"/>
    <m:dispDef/>
    <m:lMargin m:val="0"/>
    <m:rMargin m:val="0"/>
    <m:defJc m:val="centerGroup"/>
    <m:wrapIndent m:val="1440"/>
    <m:intLim m:val="subSup"/>
    <m:naryLim m:val="undOvr"/>
  </m:mathPr>
  <w:themeFontLang w:val="fr-B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CDEC953"/>
  <w15:chartTrackingRefBased/>
  <w15:docId w15:val="{A53140AE-FFD1-4061-9572-26FDD3F8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569"/>
    <w:pPr>
      <w:spacing w:before="120" w:after="120" w:line="276" w:lineRule="auto"/>
      <w:jc w:val="both"/>
    </w:pPr>
    <w:rPr>
      <w:sz w:val="20"/>
      <w:lang w:val="en-GB"/>
    </w:rPr>
  </w:style>
  <w:style w:type="paragraph" w:styleId="Heading1">
    <w:name w:val="heading 1"/>
    <w:basedOn w:val="Normal"/>
    <w:next w:val="Normal"/>
    <w:link w:val="Heading1Char"/>
    <w:uiPriority w:val="9"/>
    <w:qFormat/>
    <w:rsid w:val="00947D17"/>
    <w:pPr>
      <w:outlineLvl w:val="0"/>
    </w:pPr>
    <w:rPr>
      <w:b/>
      <w:bCs/>
      <w:color w:val="005EB8"/>
      <w:sz w:val="28"/>
      <w:szCs w:val="48"/>
    </w:rPr>
  </w:style>
  <w:style w:type="paragraph" w:styleId="Heading2">
    <w:name w:val="heading 2"/>
    <w:basedOn w:val="Normal"/>
    <w:next w:val="Normal"/>
    <w:link w:val="Heading2Char"/>
    <w:uiPriority w:val="9"/>
    <w:unhideWhenUsed/>
    <w:qFormat/>
    <w:rsid w:val="00947D17"/>
    <w:pPr>
      <w:spacing w:before="480" w:after="113" w:line="240" w:lineRule="auto"/>
      <w:outlineLvl w:val="1"/>
    </w:pPr>
    <w:rPr>
      <w:bCs/>
      <w:color w:val="005EB8"/>
      <w:szCs w:val="28"/>
    </w:rPr>
  </w:style>
  <w:style w:type="paragraph" w:styleId="Heading3">
    <w:name w:val="heading 3"/>
    <w:basedOn w:val="Normal"/>
    <w:next w:val="Normal"/>
    <w:link w:val="Heading3Char"/>
    <w:uiPriority w:val="9"/>
    <w:unhideWhenUsed/>
    <w:qFormat/>
    <w:rsid w:val="00947D17"/>
    <w:pPr>
      <w:spacing w:before="170" w:after="113" w:line="240" w:lineRule="auto"/>
      <w:outlineLvl w:val="2"/>
    </w:pPr>
    <w:rPr>
      <w:b/>
      <w:bCs/>
      <w:szCs w:val="24"/>
    </w:rPr>
  </w:style>
  <w:style w:type="paragraph" w:styleId="Heading4">
    <w:name w:val="heading 4"/>
    <w:basedOn w:val="Normal"/>
    <w:next w:val="Normal"/>
    <w:link w:val="Heading4Char"/>
    <w:uiPriority w:val="9"/>
    <w:unhideWhenUsed/>
    <w:qFormat/>
    <w:rsid w:val="00947D17"/>
    <w:pPr>
      <w:keepNext/>
      <w:keepLines/>
      <w:spacing w:before="40"/>
      <w:outlineLvl w:val="3"/>
    </w:pPr>
    <w:rPr>
      <w:rFonts w:asciiTheme="majorHAnsi" w:eastAsiaTheme="majorEastAsia" w:hAnsiTheme="majorHAnsi" w:cstheme="majorBidi"/>
      <w:i/>
      <w:iCs/>
      <w:color w:val="2B69BF" w:themeColor="accent1" w:themeShade="BF"/>
    </w:rPr>
  </w:style>
  <w:style w:type="paragraph" w:styleId="Heading5">
    <w:name w:val="heading 5"/>
    <w:basedOn w:val="Normal"/>
    <w:next w:val="Normal"/>
    <w:link w:val="Heading5Char"/>
    <w:uiPriority w:val="9"/>
    <w:unhideWhenUsed/>
    <w:qFormat/>
    <w:rsid w:val="00947D17"/>
    <w:pPr>
      <w:keepNext/>
      <w:keepLines/>
      <w:spacing w:before="40"/>
      <w:outlineLvl w:val="4"/>
    </w:pPr>
    <w:rPr>
      <w:rFonts w:asciiTheme="majorHAnsi" w:eastAsiaTheme="majorEastAsia" w:hAnsiTheme="majorHAnsi" w:cstheme="majorBidi"/>
      <w:color w:val="2B6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Ref">
    <w:name w:val="Date+Ref"/>
    <w:basedOn w:val="Normal"/>
    <w:qFormat/>
    <w:rsid w:val="00AA7711"/>
    <w:pPr>
      <w:jc w:val="right"/>
    </w:pPr>
  </w:style>
  <w:style w:type="paragraph" w:styleId="Header">
    <w:name w:val="header"/>
    <w:basedOn w:val="Normal"/>
    <w:link w:val="HeaderChar"/>
    <w:uiPriority w:val="99"/>
    <w:unhideWhenUsed/>
    <w:rsid w:val="00AA7711"/>
    <w:pPr>
      <w:tabs>
        <w:tab w:val="center" w:pos="4536"/>
        <w:tab w:val="right" w:pos="9072"/>
      </w:tabs>
      <w:spacing w:line="240" w:lineRule="auto"/>
    </w:pPr>
  </w:style>
  <w:style w:type="character" w:customStyle="1" w:styleId="HeaderChar">
    <w:name w:val="Header Char"/>
    <w:basedOn w:val="DefaultParagraphFont"/>
    <w:link w:val="Header"/>
    <w:uiPriority w:val="99"/>
    <w:rsid w:val="00AA7711"/>
    <w:rPr>
      <w:lang w:val="en-GB"/>
    </w:rPr>
  </w:style>
  <w:style w:type="paragraph" w:styleId="Footer">
    <w:name w:val="footer"/>
    <w:basedOn w:val="Normal"/>
    <w:link w:val="FooterChar"/>
    <w:uiPriority w:val="99"/>
    <w:unhideWhenUsed/>
    <w:rsid w:val="00AA7711"/>
    <w:pPr>
      <w:tabs>
        <w:tab w:val="center" w:pos="4536"/>
        <w:tab w:val="right" w:pos="9072"/>
      </w:tabs>
      <w:spacing w:line="240" w:lineRule="auto"/>
    </w:pPr>
  </w:style>
  <w:style w:type="character" w:customStyle="1" w:styleId="FooterChar">
    <w:name w:val="Footer Char"/>
    <w:basedOn w:val="DefaultParagraphFont"/>
    <w:link w:val="Footer"/>
    <w:uiPriority w:val="99"/>
    <w:rsid w:val="00AA7711"/>
    <w:rPr>
      <w:lang w:val="en-GB"/>
    </w:rPr>
  </w:style>
  <w:style w:type="table" w:styleId="TableGrid">
    <w:name w:val="Table Grid"/>
    <w:basedOn w:val="TableNormal"/>
    <w:uiPriority w:val="39"/>
    <w:rsid w:val="00D67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peofdocument">
    <w:name w:val="Type of document"/>
    <w:link w:val="TypeofdocumentChar"/>
    <w:qFormat/>
    <w:rsid w:val="00E2567B"/>
    <w:pPr>
      <w:spacing w:after="0" w:line="240" w:lineRule="auto"/>
      <w:jc w:val="right"/>
    </w:pPr>
    <w:rPr>
      <w:bCs/>
      <w:color w:val="005EB8"/>
      <w:sz w:val="36"/>
      <w:szCs w:val="50"/>
      <w:lang w:val="en-GB"/>
    </w:rPr>
  </w:style>
  <w:style w:type="character" w:customStyle="1" w:styleId="Heading1Char">
    <w:name w:val="Heading 1 Char"/>
    <w:basedOn w:val="DefaultParagraphFont"/>
    <w:link w:val="Heading1"/>
    <w:uiPriority w:val="9"/>
    <w:rsid w:val="00947D17"/>
    <w:rPr>
      <w:b/>
      <w:bCs/>
      <w:color w:val="005EB8"/>
      <w:sz w:val="28"/>
      <w:szCs w:val="48"/>
      <w:lang w:val="en-GB"/>
    </w:rPr>
  </w:style>
  <w:style w:type="paragraph" w:customStyle="1" w:styleId="BasicParagraph">
    <w:name w:val="[Basic Paragraph]"/>
    <w:basedOn w:val="Normal"/>
    <w:uiPriority w:val="99"/>
    <w:rsid w:val="00D80FF4"/>
    <w:pPr>
      <w:autoSpaceDE w:val="0"/>
      <w:autoSpaceDN w:val="0"/>
      <w:adjustRightInd w:val="0"/>
      <w:spacing w:line="288" w:lineRule="auto"/>
      <w:textAlignment w:val="center"/>
    </w:pPr>
    <w:rPr>
      <w:rFonts w:ascii="Arial" w:hAnsi="Arial" w:cs="Arial"/>
      <w:color w:val="000000"/>
      <w:sz w:val="24"/>
      <w:szCs w:val="24"/>
      <w:lang w:val="fr-FR"/>
    </w:rPr>
  </w:style>
  <w:style w:type="character" w:customStyle="1" w:styleId="Heading2Char">
    <w:name w:val="Heading 2 Char"/>
    <w:basedOn w:val="DefaultParagraphFont"/>
    <w:link w:val="Heading2"/>
    <w:uiPriority w:val="9"/>
    <w:rsid w:val="00947D17"/>
    <w:rPr>
      <w:bCs/>
      <w:color w:val="005EB8"/>
      <w:sz w:val="20"/>
      <w:szCs w:val="28"/>
      <w:lang w:val="en-GB"/>
    </w:rPr>
  </w:style>
  <w:style w:type="character" w:customStyle="1" w:styleId="Heading3Char">
    <w:name w:val="Heading 3 Char"/>
    <w:basedOn w:val="DefaultParagraphFont"/>
    <w:link w:val="Heading3"/>
    <w:uiPriority w:val="9"/>
    <w:rsid w:val="00947D17"/>
    <w:rPr>
      <w:b/>
      <w:bCs/>
      <w:sz w:val="18"/>
      <w:szCs w:val="24"/>
      <w:lang w:val="en-GB"/>
    </w:rPr>
  </w:style>
  <w:style w:type="paragraph" w:styleId="ListParagraph">
    <w:name w:val="List Paragraph"/>
    <w:aliases w:val="Level1,Lettre d'introduction,Paragrafo elenco,List Paragraph1,1st level - Bullet List Paragraph,Paragraphe EI,Paragraphe de liste1,EC,Paragraphe de liste2,Colorful List Accent 1,Liste couleur - Accent 11,Paragraphe de liste11,RETRAIT 1,3"/>
    <w:basedOn w:val="Normal"/>
    <w:link w:val="ListParagraphChar"/>
    <w:uiPriority w:val="34"/>
    <w:qFormat/>
    <w:rsid w:val="003C551E"/>
    <w:pPr>
      <w:numPr>
        <w:numId w:val="27"/>
      </w:numPr>
      <w:spacing w:line="240" w:lineRule="auto"/>
      <w:ind w:left="284" w:hanging="284"/>
      <w:contextualSpacing/>
    </w:pPr>
  </w:style>
  <w:style w:type="character" w:styleId="Hyperlink">
    <w:name w:val="Hyperlink"/>
    <w:basedOn w:val="DefaultParagraphFont"/>
    <w:uiPriority w:val="99"/>
    <w:unhideWhenUsed/>
    <w:rsid w:val="007568D0"/>
    <w:rPr>
      <w:color w:val="5E93DB" w:themeColor="hyperlink"/>
      <w:u w:val="single"/>
    </w:rPr>
  </w:style>
  <w:style w:type="character" w:customStyle="1" w:styleId="UnresolvedMention1">
    <w:name w:val="Unresolved Mention1"/>
    <w:basedOn w:val="DefaultParagraphFont"/>
    <w:uiPriority w:val="99"/>
    <w:semiHidden/>
    <w:unhideWhenUsed/>
    <w:rsid w:val="007568D0"/>
    <w:rPr>
      <w:color w:val="605E5C"/>
      <w:shd w:val="clear" w:color="auto" w:fill="E1DFDD"/>
    </w:rPr>
  </w:style>
  <w:style w:type="table" w:customStyle="1" w:styleId="TableGrid1">
    <w:name w:val="Table Grid1"/>
    <w:basedOn w:val="TableNormal"/>
    <w:next w:val="TableGrid"/>
    <w:uiPriority w:val="39"/>
    <w:rsid w:val="009B1FD7"/>
    <w:pPr>
      <w:spacing w:after="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02309"/>
    <w:pPr>
      <w:spacing w:after="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02309"/>
    <w:pPr>
      <w:spacing w:after="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3A30"/>
    <w:rPr>
      <w:color w:val="808080"/>
    </w:rPr>
  </w:style>
  <w:style w:type="paragraph" w:customStyle="1" w:styleId="NumberingLIST">
    <w:name w:val="Numbering LIST"/>
    <w:basedOn w:val="ListParagraph"/>
    <w:link w:val="NumberingLISTChar"/>
    <w:autoRedefine/>
    <w:qFormat/>
    <w:rsid w:val="00E70B5F"/>
    <w:pPr>
      <w:numPr>
        <w:numId w:val="29"/>
      </w:numPr>
      <w:spacing w:line="276" w:lineRule="auto"/>
      <w:ind w:left="1077" w:hanging="357"/>
      <w:contextualSpacing w:val="0"/>
    </w:pPr>
  </w:style>
  <w:style w:type="paragraph" w:styleId="EndnoteText">
    <w:name w:val="endnote text"/>
    <w:basedOn w:val="Normal"/>
    <w:link w:val="EndnoteTextChar"/>
    <w:uiPriority w:val="99"/>
    <w:semiHidden/>
    <w:unhideWhenUsed/>
    <w:rsid w:val="0044677C"/>
    <w:pPr>
      <w:spacing w:line="240" w:lineRule="auto"/>
    </w:pPr>
    <w:rPr>
      <w:szCs w:val="20"/>
    </w:rPr>
  </w:style>
  <w:style w:type="character" w:customStyle="1" w:styleId="ListParagraphChar">
    <w:name w:val="List Paragraph Char"/>
    <w:aliases w:val="Level1 Char,Lettre d'introduction Char,Paragrafo elenco Char,List Paragraph1 Char,1st level - Bullet List Paragraph Char,Paragraphe EI Char,Paragraphe de liste1 Char,EC Char,Paragraphe de liste2 Char,Colorful List Accent 1 Char"/>
    <w:basedOn w:val="DefaultParagraphFont"/>
    <w:link w:val="ListParagraph"/>
    <w:uiPriority w:val="34"/>
    <w:qFormat/>
    <w:rsid w:val="003C551E"/>
    <w:rPr>
      <w:sz w:val="20"/>
      <w:lang w:val="en-GB"/>
    </w:rPr>
  </w:style>
  <w:style w:type="character" w:customStyle="1" w:styleId="NumberingLISTChar">
    <w:name w:val="Numbering LIST Char"/>
    <w:basedOn w:val="ListParagraphChar"/>
    <w:link w:val="NumberingLIST"/>
    <w:rsid w:val="00E70B5F"/>
    <w:rPr>
      <w:sz w:val="20"/>
      <w:lang w:val="en-GB"/>
    </w:rPr>
  </w:style>
  <w:style w:type="character" w:customStyle="1" w:styleId="EndnoteTextChar">
    <w:name w:val="Endnote Text Char"/>
    <w:basedOn w:val="DefaultParagraphFont"/>
    <w:link w:val="EndnoteText"/>
    <w:uiPriority w:val="99"/>
    <w:semiHidden/>
    <w:rsid w:val="0044677C"/>
    <w:rPr>
      <w:sz w:val="20"/>
      <w:szCs w:val="20"/>
      <w:lang w:val="en-GB"/>
    </w:rPr>
  </w:style>
  <w:style w:type="character" w:styleId="EndnoteReference">
    <w:name w:val="endnote reference"/>
    <w:basedOn w:val="DefaultParagraphFont"/>
    <w:uiPriority w:val="99"/>
    <w:semiHidden/>
    <w:unhideWhenUsed/>
    <w:rsid w:val="0044677C"/>
    <w:rPr>
      <w:vertAlign w:val="superscript"/>
    </w:rPr>
  </w:style>
  <w:style w:type="paragraph" w:styleId="FootnoteText">
    <w:name w:val="footnote text"/>
    <w:aliases w:val="Fußnote,Footnote Text Char Char,FSR footnote,lábléc,Voetnoottekst Char1 Char,Voetnoottekst Char Char Char,Footnote Char Char Char,Fußnote Char Char Char,Footnote Text Char Char Char Char Char,text,Footnote Char,F,Char,notefranz,Ch,Cha,ft"/>
    <w:basedOn w:val="Normal"/>
    <w:link w:val="FootnoteTextChar"/>
    <w:uiPriority w:val="99"/>
    <w:unhideWhenUsed/>
    <w:qFormat/>
    <w:rsid w:val="00E82910"/>
    <w:pPr>
      <w:spacing w:after="100" w:line="240" w:lineRule="auto"/>
    </w:pPr>
    <w:rPr>
      <w:color w:val="000000" w:themeColor="text1"/>
      <w:sz w:val="16"/>
      <w:szCs w:val="16"/>
    </w:rPr>
  </w:style>
  <w:style w:type="character" w:customStyle="1" w:styleId="FootnoteTextChar">
    <w:name w:val="Footnote Text Char"/>
    <w:aliases w:val="Fußnote Char,Footnote Text Char Char Char,FSR footnote Char,lábléc Char,Voetnoottekst Char1 Char Char,Voetnoottekst Char Char Char Char,Footnote Char Char Char Char,Fußnote Char Char Char Char,text Char,Footnote Char Char,F Char"/>
    <w:basedOn w:val="DefaultParagraphFont"/>
    <w:link w:val="FootnoteText"/>
    <w:uiPriority w:val="99"/>
    <w:qFormat/>
    <w:rsid w:val="00E82910"/>
    <w:rPr>
      <w:color w:val="000000" w:themeColor="text1"/>
      <w:sz w:val="16"/>
      <w:szCs w:val="16"/>
      <w:lang w:val="en-GB"/>
    </w:rPr>
  </w:style>
  <w:style w:type="character" w:styleId="FootnoteReference">
    <w:name w:val="footnote reference"/>
    <w:aliases w:val="Footnote,Footnote Reference Number,Footnote Reference_LVL6,Footnote Reference_LVL61,Footnote Reference_LVL62,Footnote Reference_LVL63,Footnote Reference_LVL64,C26 Footnote Number,Footnote symbol,Footnote Reference_LVL65,fn,ftref,fr,Re"/>
    <w:basedOn w:val="DefaultParagraphFont"/>
    <w:link w:val="CharChar1CharCharCharChar1CharCharCharCharCharCharCharChar"/>
    <w:uiPriority w:val="99"/>
    <w:unhideWhenUsed/>
    <w:qFormat/>
    <w:rsid w:val="00E82910"/>
    <w:rPr>
      <w:b/>
      <w:bCs/>
      <w:color w:val="005EB8" w:themeColor="text2"/>
      <w:vertAlign w:val="superscript"/>
    </w:rPr>
  </w:style>
  <w:style w:type="character" w:customStyle="1" w:styleId="Heading4Char">
    <w:name w:val="Heading 4 Char"/>
    <w:basedOn w:val="DefaultParagraphFont"/>
    <w:link w:val="Heading4"/>
    <w:uiPriority w:val="9"/>
    <w:rsid w:val="00947D17"/>
    <w:rPr>
      <w:rFonts w:asciiTheme="majorHAnsi" w:eastAsiaTheme="majorEastAsia" w:hAnsiTheme="majorHAnsi" w:cstheme="majorBidi"/>
      <w:i/>
      <w:iCs/>
      <w:color w:val="2B69BF" w:themeColor="accent1" w:themeShade="BF"/>
      <w:sz w:val="18"/>
      <w:lang w:val="en-GB"/>
    </w:rPr>
  </w:style>
  <w:style w:type="character" w:customStyle="1" w:styleId="Heading5Char">
    <w:name w:val="Heading 5 Char"/>
    <w:basedOn w:val="DefaultParagraphFont"/>
    <w:link w:val="Heading5"/>
    <w:uiPriority w:val="9"/>
    <w:rsid w:val="00947D17"/>
    <w:rPr>
      <w:rFonts w:asciiTheme="majorHAnsi" w:eastAsiaTheme="majorEastAsia" w:hAnsiTheme="majorHAnsi" w:cstheme="majorBidi"/>
      <w:color w:val="2B69BF" w:themeColor="accent1" w:themeShade="BF"/>
      <w:sz w:val="18"/>
      <w:lang w:val="en-GB"/>
    </w:rPr>
  </w:style>
  <w:style w:type="paragraph" w:customStyle="1" w:styleId="ORANGElevel">
    <w:name w:val="ORANGE level"/>
    <w:basedOn w:val="Typeofdocument"/>
    <w:link w:val="ORANGElevelChar"/>
    <w:qFormat/>
    <w:rsid w:val="00AC1243"/>
    <w:rPr>
      <w:b/>
      <w:bCs w:val="0"/>
      <w:color w:val="F98C23"/>
      <w:sz w:val="24"/>
      <w:szCs w:val="24"/>
    </w:rPr>
  </w:style>
  <w:style w:type="paragraph" w:customStyle="1" w:styleId="REDlevel">
    <w:name w:val="RED level"/>
    <w:basedOn w:val="Typeofdocument"/>
    <w:qFormat/>
    <w:rsid w:val="00AC1243"/>
    <w:rPr>
      <w:b/>
      <w:bCs w:val="0"/>
      <w:color w:val="DF2935"/>
      <w:sz w:val="24"/>
      <w:szCs w:val="24"/>
    </w:rPr>
  </w:style>
  <w:style w:type="character" w:customStyle="1" w:styleId="TypeofdocumentChar">
    <w:name w:val="Type of document Char"/>
    <w:basedOn w:val="DefaultParagraphFont"/>
    <w:link w:val="Typeofdocument"/>
    <w:rsid w:val="00AC1243"/>
    <w:rPr>
      <w:bCs/>
      <w:color w:val="005EB8"/>
      <w:sz w:val="36"/>
      <w:szCs w:val="50"/>
      <w:lang w:val="en-GB"/>
    </w:rPr>
  </w:style>
  <w:style w:type="character" w:customStyle="1" w:styleId="ORANGElevelChar">
    <w:name w:val="ORANGE level Char"/>
    <w:basedOn w:val="TypeofdocumentChar"/>
    <w:link w:val="ORANGElevel"/>
    <w:rsid w:val="00AC1243"/>
    <w:rPr>
      <w:b/>
      <w:bCs w:val="0"/>
      <w:color w:val="F98C23"/>
      <w:sz w:val="24"/>
      <w:szCs w:val="24"/>
      <w:lang w:val="en-GB"/>
    </w:rPr>
  </w:style>
  <w:style w:type="paragraph" w:customStyle="1" w:styleId="YELLOWlevel">
    <w:name w:val="YELLOW level"/>
    <w:basedOn w:val="REDlevel"/>
    <w:qFormat/>
    <w:rsid w:val="00AC1243"/>
    <w:rPr>
      <w:color w:val="FFCD00" w:themeColor="accent2"/>
    </w:rPr>
  </w:style>
  <w:style w:type="paragraph" w:customStyle="1" w:styleId="BLUElevel">
    <w:name w:val="BLUE level"/>
    <w:basedOn w:val="YELLOWlevel"/>
    <w:qFormat/>
    <w:rsid w:val="00AC1243"/>
    <w:rPr>
      <w:color w:val="5E93DB" w:themeColor="accent1"/>
    </w:rPr>
  </w:style>
  <w:style w:type="paragraph" w:customStyle="1" w:styleId="GREENlevel">
    <w:name w:val="GREEN level"/>
    <w:basedOn w:val="BLUElevel"/>
    <w:qFormat/>
    <w:rsid w:val="00AC1243"/>
    <w:rPr>
      <w:color w:val="218380"/>
    </w:rPr>
  </w:style>
  <w:style w:type="paragraph" w:customStyle="1" w:styleId="PERSONALlevel">
    <w:name w:val="PERSONAL level"/>
    <w:basedOn w:val="GREENlevel"/>
    <w:qFormat/>
    <w:rsid w:val="00593418"/>
    <w:rPr>
      <w:bCs/>
      <w:color w:val="000000" w:themeColor="text1"/>
    </w:rPr>
  </w:style>
  <w:style w:type="paragraph" w:styleId="ListBullet">
    <w:name w:val="List Bullet"/>
    <w:basedOn w:val="ListParagraph"/>
    <w:autoRedefine/>
    <w:uiPriority w:val="99"/>
    <w:unhideWhenUsed/>
    <w:qFormat/>
    <w:rsid w:val="00B37569"/>
    <w:pPr>
      <w:numPr>
        <w:numId w:val="26"/>
      </w:numPr>
      <w:spacing w:after="100" w:line="276" w:lineRule="auto"/>
      <w:ind w:left="714" w:hanging="357"/>
      <w:contextualSpacing w:val="0"/>
    </w:pPr>
  </w:style>
  <w:style w:type="paragraph" w:styleId="ListBullet2">
    <w:name w:val="List Bullet 2"/>
    <w:basedOn w:val="ListBullet"/>
    <w:uiPriority w:val="99"/>
    <w:unhideWhenUsed/>
    <w:qFormat/>
    <w:rsid w:val="00796E1E"/>
    <w:pPr>
      <w:numPr>
        <w:ilvl w:val="1"/>
      </w:numPr>
    </w:pPr>
  </w:style>
  <w:style w:type="paragraph" w:styleId="ListBullet3">
    <w:name w:val="List Bullet 3"/>
    <w:basedOn w:val="ListBullet"/>
    <w:uiPriority w:val="99"/>
    <w:unhideWhenUsed/>
    <w:qFormat/>
    <w:rsid w:val="00796E1E"/>
    <w:pPr>
      <w:numPr>
        <w:ilvl w:val="2"/>
      </w:numPr>
    </w:pPr>
  </w:style>
  <w:style w:type="paragraph" w:styleId="ListBullet4">
    <w:name w:val="List Bullet 4"/>
    <w:basedOn w:val="ListBullet3"/>
    <w:uiPriority w:val="99"/>
    <w:unhideWhenUsed/>
    <w:qFormat/>
    <w:rsid w:val="00796E1E"/>
    <w:pPr>
      <w:numPr>
        <w:ilvl w:val="3"/>
      </w:numPr>
    </w:pPr>
  </w:style>
  <w:style w:type="paragraph" w:styleId="ListBullet5">
    <w:name w:val="List Bullet 5"/>
    <w:basedOn w:val="ListBullet4"/>
    <w:uiPriority w:val="99"/>
    <w:unhideWhenUsed/>
    <w:qFormat/>
    <w:rsid w:val="00796E1E"/>
    <w:pPr>
      <w:numPr>
        <w:ilvl w:val="4"/>
      </w:numPr>
    </w:pPr>
  </w:style>
  <w:style w:type="paragraph" w:customStyle="1" w:styleId="Default">
    <w:name w:val="Default"/>
    <w:rsid w:val="004D5F5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D5F56"/>
    <w:rPr>
      <w:sz w:val="16"/>
      <w:szCs w:val="16"/>
    </w:rPr>
  </w:style>
  <w:style w:type="paragraph" w:styleId="CommentText">
    <w:name w:val="annotation text"/>
    <w:basedOn w:val="Normal"/>
    <w:link w:val="CommentTextChar"/>
    <w:uiPriority w:val="99"/>
    <w:unhideWhenUsed/>
    <w:rsid w:val="004D5F56"/>
    <w:pPr>
      <w:spacing w:line="240" w:lineRule="auto"/>
    </w:pPr>
    <w:rPr>
      <w:szCs w:val="20"/>
    </w:rPr>
  </w:style>
  <w:style w:type="character" w:customStyle="1" w:styleId="CommentTextChar">
    <w:name w:val="Comment Text Char"/>
    <w:basedOn w:val="DefaultParagraphFont"/>
    <w:link w:val="CommentText"/>
    <w:uiPriority w:val="99"/>
    <w:rsid w:val="004D5F56"/>
    <w:rPr>
      <w:sz w:val="20"/>
      <w:szCs w:val="20"/>
      <w:lang w:val="en-GB"/>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4D5F56"/>
    <w:pPr>
      <w:spacing w:before="0" w:after="160" w:line="240" w:lineRule="exact"/>
      <w:jc w:val="left"/>
    </w:pPr>
    <w:rPr>
      <w:b/>
      <w:bCs/>
      <w:color w:val="005EB8" w:themeColor="text2"/>
      <w:sz w:val="22"/>
      <w:vertAlign w:val="superscript"/>
      <w:lang w:val="en-US"/>
    </w:rPr>
  </w:style>
  <w:style w:type="table" w:customStyle="1" w:styleId="GridTable4-Accent11">
    <w:name w:val="Grid Table 4 - Accent 11"/>
    <w:basedOn w:val="TableNormal"/>
    <w:uiPriority w:val="49"/>
    <w:rsid w:val="004D5F56"/>
    <w:pPr>
      <w:spacing w:after="0" w:line="240" w:lineRule="auto"/>
    </w:pPr>
    <w:rPr>
      <w:lang w:val="en-GB"/>
    </w:rPr>
    <w:tblPr>
      <w:tblStyleRowBandSize w:val="1"/>
      <w:tblStyleColBandSize w:val="1"/>
      <w:tblInd w:w="0" w:type="nil"/>
      <w:tblBorders>
        <w:top w:val="single" w:sz="4" w:space="0" w:color="9EBEE9" w:themeColor="accent1" w:themeTint="99"/>
        <w:left w:val="single" w:sz="4" w:space="0" w:color="9EBEE9" w:themeColor="accent1" w:themeTint="99"/>
        <w:bottom w:val="single" w:sz="4" w:space="0" w:color="9EBEE9" w:themeColor="accent1" w:themeTint="99"/>
        <w:right w:val="single" w:sz="4" w:space="0" w:color="9EBEE9" w:themeColor="accent1" w:themeTint="99"/>
        <w:insideH w:val="single" w:sz="4" w:space="0" w:color="9EBEE9" w:themeColor="accent1" w:themeTint="99"/>
        <w:insideV w:val="single" w:sz="4" w:space="0" w:color="9EBEE9" w:themeColor="accent1" w:themeTint="99"/>
      </w:tblBorders>
    </w:tblPr>
    <w:tblStylePr w:type="firstRow">
      <w:rPr>
        <w:b/>
        <w:bCs/>
        <w:color w:val="FFFFFF" w:themeColor="background1"/>
      </w:rPr>
      <w:tblPr/>
      <w:tcPr>
        <w:tcBorders>
          <w:top w:val="single" w:sz="4" w:space="0" w:color="5E93DB" w:themeColor="accent1"/>
          <w:left w:val="single" w:sz="4" w:space="0" w:color="5E93DB" w:themeColor="accent1"/>
          <w:bottom w:val="single" w:sz="4" w:space="0" w:color="5E93DB" w:themeColor="accent1"/>
          <w:right w:val="single" w:sz="4" w:space="0" w:color="5E93DB" w:themeColor="accent1"/>
          <w:insideH w:val="nil"/>
          <w:insideV w:val="nil"/>
        </w:tcBorders>
        <w:shd w:val="clear" w:color="auto" w:fill="5E93DB" w:themeFill="accent1"/>
      </w:tcPr>
    </w:tblStylePr>
    <w:tblStylePr w:type="lastRow">
      <w:rPr>
        <w:b/>
        <w:bCs/>
      </w:rPr>
      <w:tblPr/>
      <w:tcPr>
        <w:tcBorders>
          <w:top w:val="double" w:sz="4" w:space="0" w:color="5E93DB" w:themeColor="accent1"/>
        </w:tcBorders>
      </w:tcPr>
    </w:tblStylePr>
    <w:tblStylePr w:type="firstCol">
      <w:rPr>
        <w:b/>
        <w:bCs/>
      </w:rPr>
    </w:tblStylePr>
    <w:tblStylePr w:type="lastCol">
      <w:rPr>
        <w:b/>
        <w:bCs/>
      </w:rPr>
    </w:tblStylePr>
    <w:tblStylePr w:type="band1Vert">
      <w:tblPr/>
      <w:tcPr>
        <w:shd w:val="clear" w:color="auto" w:fill="DEE9F7" w:themeFill="accent1" w:themeFillTint="33"/>
      </w:tcPr>
    </w:tblStylePr>
    <w:tblStylePr w:type="band1Horz">
      <w:tblPr/>
      <w:tcPr>
        <w:shd w:val="clear" w:color="auto" w:fill="DEE9F7" w:themeFill="accent1" w:themeFillTint="33"/>
      </w:tcPr>
    </w:tblStylePr>
  </w:style>
  <w:style w:type="table" w:styleId="ListTable2-Accent5">
    <w:name w:val="List Table 2 Accent 5"/>
    <w:basedOn w:val="TableNormal"/>
    <w:uiPriority w:val="47"/>
    <w:rsid w:val="004D5F56"/>
    <w:pPr>
      <w:spacing w:after="0" w:line="240" w:lineRule="auto"/>
    </w:pPr>
    <w:rPr>
      <w:lang w:val="en-GB"/>
    </w:rPr>
    <w:tblPr>
      <w:tblStyleRowBandSize w:val="1"/>
      <w:tblStyleColBandSize w:val="1"/>
      <w:tblBorders>
        <w:top w:val="single" w:sz="4" w:space="0" w:color="FFE166" w:themeColor="accent5" w:themeTint="99"/>
        <w:bottom w:val="single" w:sz="4" w:space="0" w:color="FFE166" w:themeColor="accent5" w:themeTint="99"/>
        <w:insideH w:val="single" w:sz="4" w:space="0" w:color="FFE1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CC" w:themeFill="accent5" w:themeFillTint="33"/>
      </w:tcPr>
    </w:tblStylePr>
    <w:tblStylePr w:type="band1Horz">
      <w:tblPr/>
      <w:tcPr>
        <w:shd w:val="clear" w:color="auto" w:fill="FFF5CC" w:themeFill="accent5" w:themeFillTint="33"/>
      </w:tcPr>
    </w:tblStylePr>
  </w:style>
  <w:style w:type="paragraph" w:styleId="Title">
    <w:name w:val="Title"/>
    <w:basedOn w:val="Normal"/>
    <w:next w:val="Normal"/>
    <w:link w:val="TitleChar"/>
    <w:uiPriority w:val="10"/>
    <w:qFormat/>
    <w:rsid w:val="004D5F56"/>
    <w:pPr>
      <w:spacing w:before="0" w:after="0" w:line="240" w:lineRule="auto"/>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F56"/>
    <w:rPr>
      <w:rFonts w:asciiTheme="majorHAnsi" w:eastAsiaTheme="majorEastAsia" w:hAnsiTheme="majorHAnsi" w:cstheme="majorBidi"/>
      <w:spacing w:val="-10"/>
      <w:kern w:val="28"/>
      <w:sz w:val="56"/>
      <w:szCs w:val="56"/>
      <w:lang w:val="en-GB"/>
    </w:rPr>
  </w:style>
  <w:style w:type="paragraph" w:styleId="NoSpacing">
    <w:name w:val="No Spacing"/>
    <w:link w:val="NoSpacingChar"/>
    <w:uiPriority w:val="1"/>
    <w:qFormat/>
    <w:rsid w:val="00356070"/>
    <w:pPr>
      <w:spacing w:after="0" w:line="240" w:lineRule="auto"/>
    </w:pPr>
    <w:rPr>
      <w:rFonts w:eastAsiaTheme="minorEastAsia"/>
    </w:rPr>
  </w:style>
  <w:style w:type="character" w:customStyle="1" w:styleId="NoSpacingChar">
    <w:name w:val="No Spacing Char"/>
    <w:basedOn w:val="DefaultParagraphFont"/>
    <w:link w:val="NoSpacing"/>
    <w:uiPriority w:val="1"/>
    <w:rsid w:val="00356070"/>
    <w:rPr>
      <w:rFonts w:eastAsiaTheme="minorEastAsia"/>
    </w:rPr>
  </w:style>
  <w:style w:type="table" w:styleId="GridTable4-Accent1">
    <w:name w:val="Grid Table 4 Accent 1"/>
    <w:basedOn w:val="TableNormal"/>
    <w:uiPriority w:val="49"/>
    <w:rsid w:val="00356070"/>
    <w:pPr>
      <w:spacing w:after="0" w:line="240" w:lineRule="auto"/>
    </w:pPr>
    <w:rPr>
      <w:lang w:val="en-GB"/>
    </w:rPr>
    <w:tblPr>
      <w:tblStyleRowBandSize w:val="1"/>
      <w:tblStyleColBandSize w:val="1"/>
      <w:tblBorders>
        <w:top w:val="single" w:sz="4" w:space="0" w:color="9EBEE9" w:themeColor="accent1" w:themeTint="99"/>
        <w:left w:val="single" w:sz="4" w:space="0" w:color="9EBEE9" w:themeColor="accent1" w:themeTint="99"/>
        <w:bottom w:val="single" w:sz="4" w:space="0" w:color="9EBEE9" w:themeColor="accent1" w:themeTint="99"/>
        <w:right w:val="single" w:sz="4" w:space="0" w:color="9EBEE9" w:themeColor="accent1" w:themeTint="99"/>
        <w:insideH w:val="single" w:sz="4" w:space="0" w:color="9EBEE9" w:themeColor="accent1" w:themeTint="99"/>
        <w:insideV w:val="single" w:sz="4" w:space="0" w:color="9EBEE9" w:themeColor="accent1" w:themeTint="99"/>
      </w:tblBorders>
    </w:tblPr>
    <w:tblStylePr w:type="firstRow">
      <w:rPr>
        <w:b/>
        <w:bCs/>
        <w:color w:val="FFFFFF" w:themeColor="background1"/>
      </w:rPr>
      <w:tblPr/>
      <w:tcPr>
        <w:tcBorders>
          <w:top w:val="single" w:sz="4" w:space="0" w:color="5E93DB" w:themeColor="accent1"/>
          <w:left w:val="single" w:sz="4" w:space="0" w:color="5E93DB" w:themeColor="accent1"/>
          <w:bottom w:val="single" w:sz="4" w:space="0" w:color="5E93DB" w:themeColor="accent1"/>
          <w:right w:val="single" w:sz="4" w:space="0" w:color="5E93DB" w:themeColor="accent1"/>
          <w:insideH w:val="nil"/>
          <w:insideV w:val="nil"/>
        </w:tcBorders>
        <w:shd w:val="clear" w:color="auto" w:fill="5E93DB" w:themeFill="accent1"/>
      </w:tcPr>
    </w:tblStylePr>
    <w:tblStylePr w:type="lastRow">
      <w:rPr>
        <w:b/>
        <w:bCs/>
      </w:rPr>
      <w:tblPr/>
      <w:tcPr>
        <w:tcBorders>
          <w:top w:val="double" w:sz="4" w:space="0" w:color="5E93DB" w:themeColor="accent1"/>
        </w:tcBorders>
      </w:tcPr>
    </w:tblStylePr>
    <w:tblStylePr w:type="firstCol">
      <w:rPr>
        <w:b/>
        <w:bCs/>
      </w:rPr>
    </w:tblStylePr>
    <w:tblStylePr w:type="lastCol">
      <w:rPr>
        <w:b/>
        <w:bCs/>
      </w:rPr>
    </w:tblStylePr>
    <w:tblStylePr w:type="band1Vert">
      <w:tblPr/>
      <w:tcPr>
        <w:shd w:val="clear" w:color="auto" w:fill="DEE9F7" w:themeFill="accent1" w:themeFillTint="33"/>
      </w:tcPr>
    </w:tblStylePr>
    <w:tblStylePr w:type="band1Horz">
      <w:tblPr/>
      <w:tcPr>
        <w:shd w:val="clear" w:color="auto" w:fill="DEE9F7" w:themeFill="accent1" w:themeFillTint="33"/>
      </w:tcPr>
    </w:tblStylePr>
  </w:style>
  <w:style w:type="paragraph" w:styleId="CommentSubject">
    <w:name w:val="annotation subject"/>
    <w:basedOn w:val="CommentText"/>
    <w:next w:val="CommentText"/>
    <w:link w:val="CommentSubjectChar"/>
    <w:uiPriority w:val="99"/>
    <w:semiHidden/>
    <w:unhideWhenUsed/>
    <w:rsid w:val="00036AD9"/>
    <w:rPr>
      <w:b/>
      <w:bCs/>
    </w:rPr>
  </w:style>
  <w:style w:type="character" w:customStyle="1" w:styleId="CommentSubjectChar">
    <w:name w:val="Comment Subject Char"/>
    <w:basedOn w:val="CommentTextChar"/>
    <w:link w:val="CommentSubject"/>
    <w:uiPriority w:val="99"/>
    <w:semiHidden/>
    <w:rsid w:val="00036AD9"/>
    <w:rPr>
      <w:b/>
      <w:bCs/>
      <w:sz w:val="20"/>
      <w:szCs w:val="20"/>
      <w:lang w:val="en-GB"/>
    </w:rPr>
  </w:style>
  <w:style w:type="table" w:styleId="GridTable2-Accent5">
    <w:name w:val="Grid Table 2 Accent 5"/>
    <w:basedOn w:val="TableNormal"/>
    <w:uiPriority w:val="47"/>
    <w:rsid w:val="00034109"/>
    <w:pPr>
      <w:spacing w:after="0" w:line="240" w:lineRule="auto"/>
    </w:pPr>
    <w:tblPr>
      <w:tblStyleRowBandSize w:val="1"/>
      <w:tblStyleColBandSize w:val="1"/>
      <w:tblBorders>
        <w:top w:val="single" w:sz="2" w:space="0" w:color="FFE166" w:themeColor="accent5" w:themeTint="99"/>
        <w:bottom w:val="single" w:sz="2" w:space="0" w:color="FFE166" w:themeColor="accent5" w:themeTint="99"/>
        <w:insideH w:val="single" w:sz="2" w:space="0" w:color="FFE166" w:themeColor="accent5" w:themeTint="99"/>
        <w:insideV w:val="single" w:sz="2" w:space="0" w:color="FFE166" w:themeColor="accent5" w:themeTint="99"/>
      </w:tblBorders>
    </w:tblPr>
    <w:tblStylePr w:type="firstRow">
      <w:rPr>
        <w:b/>
        <w:bCs/>
      </w:rPr>
      <w:tblPr/>
      <w:tcPr>
        <w:tcBorders>
          <w:top w:val="nil"/>
          <w:bottom w:val="single" w:sz="12" w:space="0" w:color="FFE166" w:themeColor="accent5" w:themeTint="99"/>
          <w:insideH w:val="nil"/>
          <w:insideV w:val="nil"/>
        </w:tcBorders>
        <w:shd w:val="clear" w:color="auto" w:fill="FFFFFF" w:themeFill="background1"/>
      </w:tcPr>
    </w:tblStylePr>
    <w:tblStylePr w:type="lastRow">
      <w:rPr>
        <w:b/>
        <w:bCs/>
      </w:rPr>
      <w:tblPr/>
      <w:tcPr>
        <w:tcBorders>
          <w:top w:val="double" w:sz="2" w:space="0" w:color="FFE1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5" w:themeFillTint="33"/>
      </w:tcPr>
    </w:tblStylePr>
    <w:tblStylePr w:type="band1Horz">
      <w:tblPr/>
      <w:tcPr>
        <w:shd w:val="clear" w:color="auto" w:fill="FFF5CC" w:themeFill="accent5" w:themeFillTint="33"/>
      </w:tcPr>
    </w:tblStylePr>
  </w:style>
  <w:style w:type="table" w:styleId="ListTable2-Accent4">
    <w:name w:val="List Table 2 Accent 4"/>
    <w:basedOn w:val="TableNormal"/>
    <w:uiPriority w:val="47"/>
    <w:rsid w:val="00BD5802"/>
    <w:pPr>
      <w:spacing w:after="0" w:line="240" w:lineRule="auto"/>
    </w:pPr>
    <w:tblPr>
      <w:tblStyleRowBandSize w:val="1"/>
      <w:tblStyleColBandSize w:val="1"/>
      <w:tblBorders>
        <w:top w:val="single" w:sz="4" w:space="0" w:color="9EBEE9" w:themeColor="accent4" w:themeTint="99"/>
        <w:bottom w:val="single" w:sz="4" w:space="0" w:color="9EBEE9" w:themeColor="accent4" w:themeTint="99"/>
        <w:insideH w:val="single" w:sz="4" w:space="0" w:color="9EBEE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9F7" w:themeFill="accent4" w:themeFillTint="33"/>
      </w:tcPr>
    </w:tblStylePr>
    <w:tblStylePr w:type="band1Horz">
      <w:tblPr/>
      <w:tcPr>
        <w:shd w:val="clear" w:color="auto" w:fill="DEE9F7"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832893">
      <w:bodyDiv w:val="1"/>
      <w:marLeft w:val="0"/>
      <w:marRight w:val="0"/>
      <w:marTop w:val="0"/>
      <w:marBottom w:val="0"/>
      <w:divBdr>
        <w:top w:val="none" w:sz="0" w:space="0" w:color="auto"/>
        <w:left w:val="none" w:sz="0" w:space="0" w:color="auto"/>
        <w:bottom w:val="none" w:sz="0" w:space="0" w:color="auto"/>
        <w:right w:val="none" w:sz="0" w:space="0" w:color="auto"/>
      </w:divBdr>
    </w:div>
    <w:div w:id="668562276">
      <w:bodyDiv w:val="1"/>
      <w:marLeft w:val="0"/>
      <w:marRight w:val="0"/>
      <w:marTop w:val="0"/>
      <w:marBottom w:val="0"/>
      <w:divBdr>
        <w:top w:val="none" w:sz="0" w:space="0" w:color="auto"/>
        <w:left w:val="none" w:sz="0" w:space="0" w:color="auto"/>
        <w:bottom w:val="none" w:sz="0" w:space="0" w:color="auto"/>
        <w:right w:val="none" w:sz="0" w:space="0" w:color="auto"/>
      </w:divBdr>
    </w:div>
    <w:div w:id="1407150076">
      <w:bodyDiv w:val="1"/>
      <w:marLeft w:val="0"/>
      <w:marRight w:val="0"/>
      <w:marTop w:val="0"/>
      <w:marBottom w:val="0"/>
      <w:divBdr>
        <w:top w:val="none" w:sz="0" w:space="0" w:color="auto"/>
        <w:left w:val="none" w:sz="0" w:space="0" w:color="auto"/>
        <w:bottom w:val="none" w:sz="0" w:space="0" w:color="auto"/>
        <w:right w:val="none" w:sz="0" w:space="0" w:color="auto"/>
      </w:divBdr>
    </w:div>
    <w:div w:id="1444492794">
      <w:bodyDiv w:val="1"/>
      <w:marLeft w:val="0"/>
      <w:marRight w:val="0"/>
      <w:marTop w:val="0"/>
      <w:marBottom w:val="0"/>
      <w:divBdr>
        <w:top w:val="none" w:sz="0" w:space="0" w:color="auto"/>
        <w:left w:val="none" w:sz="0" w:space="0" w:color="auto"/>
        <w:bottom w:val="none" w:sz="0" w:space="0" w:color="auto"/>
        <w:right w:val="none" w:sz="0" w:space="0" w:color="auto"/>
      </w:divBdr>
    </w:div>
    <w:div w:id="1472286112">
      <w:bodyDiv w:val="1"/>
      <w:marLeft w:val="0"/>
      <w:marRight w:val="0"/>
      <w:marTop w:val="0"/>
      <w:marBottom w:val="0"/>
      <w:divBdr>
        <w:top w:val="none" w:sz="0" w:space="0" w:color="auto"/>
        <w:left w:val="none" w:sz="0" w:space="0" w:color="auto"/>
        <w:bottom w:val="none" w:sz="0" w:space="0" w:color="auto"/>
        <w:right w:val="none" w:sz="0" w:space="0" w:color="auto"/>
      </w:divBdr>
    </w:div>
    <w:div w:id="1725984042">
      <w:bodyDiv w:val="1"/>
      <w:marLeft w:val="0"/>
      <w:marRight w:val="0"/>
      <w:marTop w:val="0"/>
      <w:marBottom w:val="0"/>
      <w:divBdr>
        <w:top w:val="none" w:sz="0" w:space="0" w:color="auto"/>
        <w:left w:val="none" w:sz="0" w:space="0" w:color="auto"/>
        <w:bottom w:val="none" w:sz="0" w:space="0" w:color="auto"/>
        <w:right w:val="none" w:sz="0" w:space="0" w:color="auto"/>
      </w:divBdr>
    </w:div>
    <w:div w:id="1963919821">
      <w:bodyDiv w:val="1"/>
      <w:marLeft w:val="0"/>
      <w:marRight w:val="0"/>
      <w:marTop w:val="0"/>
      <w:marBottom w:val="0"/>
      <w:divBdr>
        <w:top w:val="none" w:sz="0" w:space="0" w:color="auto"/>
        <w:left w:val="none" w:sz="0" w:space="0" w:color="auto"/>
        <w:bottom w:val="none" w:sz="0" w:space="0" w:color="auto"/>
        <w:right w:val="none" w:sz="0" w:space="0" w:color="auto"/>
      </w:divBdr>
    </w:div>
    <w:div w:id="2032293062">
      <w:bodyDiv w:val="1"/>
      <w:marLeft w:val="0"/>
      <w:marRight w:val="0"/>
      <w:marTop w:val="0"/>
      <w:marBottom w:val="0"/>
      <w:divBdr>
        <w:top w:val="none" w:sz="0" w:space="0" w:color="auto"/>
        <w:left w:val="none" w:sz="0" w:space="0" w:color="auto"/>
        <w:bottom w:val="none" w:sz="0" w:space="0" w:color="auto"/>
        <w:right w:val="none" w:sz="0" w:space="0" w:color="auto"/>
      </w:divBdr>
    </w:div>
    <w:div w:id="207566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SRB">
      <a:dk1>
        <a:sysClr val="windowText" lastClr="000000"/>
      </a:dk1>
      <a:lt1>
        <a:sysClr val="window" lastClr="FFFFFF"/>
      </a:lt1>
      <a:dk2>
        <a:srgbClr val="005EB8"/>
      </a:dk2>
      <a:lt2>
        <a:srgbClr val="575756"/>
      </a:lt2>
      <a:accent1>
        <a:srgbClr val="5E93DB"/>
      </a:accent1>
      <a:accent2>
        <a:srgbClr val="FFCD00"/>
      </a:accent2>
      <a:accent3>
        <a:srgbClr val="005EB8"/>
      </a:accent3>
      <a:accent4>
        <a:srgbClr val="5E93DB"/>
      </a:accent4>
      <a:accent5>
        <a:srgbClr val="FFCD00"/>
      </a:accent5>
      <a:accent6>
        <a:srgbClr val="005EB8"/>
      </a:accent6>
      <a:hlink>
        <a:srgbClr val="5E93DB"/>
      </a:hlink>
      <a:folHlink>
        <a:srgbClr val="FFCD00"/>
      </a:folHlink>
    </a:clrScheme>
    <a:fontScheme name="SR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ata_x0020_Classification xmlns="f9f405a0-40eb-4538-a020-8d736e3d7623">SRB-ORANGE</Data_x0020_Classification>
    <TaxCatchAll xmlns="c92d7944-8772-4222-a8b1-d5982a63086e">
      <Value>1</Value>
    </TaxCatchAl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705AE32BA1BE4D8243371ACBF78684" ma:contentTypeVersion="10" ma:contentTypeDescription="Create a new document." ma:contentTypeScope="" ma:versionID="c977eb29e24b5f9a1edf47a549bdaca1">
  <xsd:schema xmlns:xsd="http://www.w3.org/2001/XMLSchema" xmlns:xs="http://www.w3.org/2001/XMLSchema" xmlns:p="http://schemas.microsoft.com/office/2006/metadata/properties" xmlns:ns1="http://schemas.microsoft.com/sharepoint/v3" xmlns:ns2="c92d7944-8772-4222-a8b1-d5982a63086e" xmlns:ns3="f9f405a0-40eb-4538-a020-8d736e3d7623" targetNamespace="http://schemas.microsoft.com/office/2006/metadata/properties" ma:root="true" ma:fieldsID="31fcbddfae011bb27e02c2dc0046ab28" ns1:_="" ns2:_="" ns3:_="">
    <xsd:import namespace="http://schemas.microsoft.com/sharepoint/v3"/>
    <xsd:import namespace="c92d7944-8772-4222-a8b1-d5982a63086e"/>
    <xsd:import namespace="f9f405a0-40eb-4538-a020-8d736e3d7623"/>
    <xsd:element name="properties">
      <xsd:complexType>
        <xsd:sequence>
          <xsd:element name="documentManagement">
            <xsd:complexType>
              <xsd:all>
                <xsd:element ref="ns2:SharedWithUsers" minOccurs="0"/>
                <xsd:element ref="ns2:TaxCatchAll" minOccurs="0"/>
                <xsd:element ref="ns3:Data_x0020_Classification"/>
                <xsd:element ref="ns2:SharedWithDetail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2d7944-8772-4222-a8b1-d5982a63086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9" nillable="true" ma:displayName="Taxonomy Catch All Column" ma:description="" ma:hidden="true" ma:list="{36c34cf3-a07b-490d-919e-9d6844768b75}" ma:internalName="TaxCatchAll" ma:showField="CatchAllData" ma:web="c92d7944-8772-4222-a8b1-d5982a63086e">
      <xsd:complexType>
        <xsd:complexContent>
          <xsd:extension base="dms:MultiChoiceLookup">
            <xsd:sequence>
              <xsd:element name="Value" type="dms:Lookup" maxOccurs="unbounded" minOccurs="0" nillable="true"/>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f405a0-40eb-4538-a020-8d736e3d7623" elementFormDefault="qualified">
    <xsd:import namespace="http://schemas.microsoft.com/office/2006/documentManagement/types"/>
    <xsd:import namespace="http://schemas.microsoft.com/office/infopath/2007/PartnerControls"/>
    <xsd:element name="Data_x0020_Classification" ma:index="10" ma:displayName="Data Classification" ma:default="SRB-ORANGE" ma:format="Dropdown" ma:internalName="Data_x0020_Classification">
      <xsd:simpleType>
        <xsd:restriction base="dms:Choice">
          <xsd:enumeration value="SRB-BLUE"/>
          <xsd:enumeration value="SRB-GREEN"/>
          <xsd:enumeration value="SRB-ORANGE"/>
          <xsd:enumeration value="SRB-RED"/>
          <xsd:enumeration value="SRB-YELLO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Document</p:Name>
  <p:Description/>
  <p:Statement/>
  <p:PolicyItems>
    <p:PolicyItem featureId="Microsoft.Office.RecordsManagement.PolicyFeatures.PolicyAudit" staticId="0x0101|8138272" UniqueId="6e8e5461-e113-4c89-b00f-cf21d18699b8">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DAE7D-1B65-461F-910E-90CC5DA299BD}">
  <ds:schemaRef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f9f405a0-40eb-4538-a020-8d736e3d7623"/>
    <ds:schemaRef ds:uri="c92d7944-8772-4222-a8b1-d5982a63086e"/>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C5C42545-E893-4FA3-8955-D70D8926D12B}">
  <ds:schemaRefs>
    <ds:schemaRef ds:uri="http://schemas.openxmlformats.org/officeDocument/2006/bibliography"/>
  </ds:schemaRefs>
</ds:datastoreItem>
</file>

<file path=customXml/itemProps3.xml><?xml version="1.0" encoding="utf-8"?>
<ds:datastoreItem xmlns:ds="http://schemas.openxmlformats.org/officeDocument/2006/customXml" ds:itemID="{389CC0D6-4B18-47B0-9C38-DBA1AD80F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2d7944-8772-4222-a8b1-d5982a63086e"/>
    <ds:schemaRef ds:uri="f9f405a0-40eb-4538-a020-8d736e3d7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84430-68FF-43B2-A4A7-B0DACE327390}">
  <ds:schemaRefs>
    <ds:schemaRef ds:uri="http://schemas.microsoft.com/sharepoint/events"/>
  </ds:schemaRefs>
</ds:datastoreItem>
</file>

<file path=customXml/itemProps5.xml><?xml version="1.0" encoding="utf-8"?>
<ds:datastoreItem xmlns:ds="http://schemas.openxmlformats.org/officeDocument/2006/customXml" ds:itemID="{B7FD290B-3BBB-47BF-A65C-CBC8135E60AE}">
  <ds:schemaRefs>
    <ds:schemaRef ds:uri="office.server.policy"/>
  </ds:schemaRefs>
</ds:datastoreItem>
</file>

<file path=customXml/itemProps6.xml><?xml version="1.0" encoding="utf-8"?>
<ds:datastoreItem xmlns:ds="http://schemas.openxmlformats.org/officeDocument/2006/customXml" ds:itemID="{516BB114-0B4E-4444-B29F-E3AF0E19C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dc:creator>
  <cp:keywords/>
  <dc:description/>
  <cp:lastModifiedBy>DIAZ OLIVER Maria (EXT)</cp:lastModifiedBy>
  <cp:revision>3</cp:revision>
  <cp:lastPrinted>2020-11-17T18:14:00Z</cp:lastPrinted>
  <dcterms:created xsi:type="dcterms:W3CDTF">2025-07-31T14:21:00Z</dcterms:created>
  <dcterms:modified xsi:type="dcterms:W3CDTF">2025-08-06T11:34:00Z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0x01010049705AE32BA1BE4D8243371ACBF78684</vt:lpwstr>
  </property>
  <property fmtid="{D5CDD505-2E9C-101B-9397-08002B2CF9AE}" pid="3" name="File Plan">
    <vt:lpwstr>1;#11.01.005.140.010 Planning Cycle Implementation Steering Committee|105569ca-ba87-4031-b9d0-280c64d9dfab</vt:lpwstr>
  </property>
  <property fmtid="{D5CDD505-2E9C-101B-9397-08002B2CF9AE}" pid="4" name="fbdfbe0deb37414e8af32f3ab34e1d60">
    <vt:lpwstr>11.01.005.140.010 Planning Cycle Implementation Steering Committee|105569ca-ba87-4031-b9d0-280c64d9dfab</vt:lpwstr>
  </property>
</Properties>
</file>