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7DA59" w14:textId="77777777" w:rsidR="007B7B2C" w:rsidRPr="005A42C4" w:rsidRDefault="00341874" w:rsidP="009474F1">
      <w:pPr>
        <w:pStyle w:val="Title"/>
        <w:spacing w:line="276" w:lineRule="auto"/>
        <w:jc w:val="center"/>
        <w:rPr>
          <w:rFonts w:ascii="Cambria" w:hAnsi="Cambria"/>
          <w:lang w:val="en-GB"/>
        </w:rPr>
      </w:pPr>
      <w:r w:rsidRPr="005A42C4">
        <w:rPr>
          <w:rFonts w:ascii="Cambria" w:hAnsi="Cambria"/>
          <w:lang w:val="en-GB"/>
        </w:rPr>
        <w:t>Guidance</w:t>
      </w:r>
      <w:r w:rsidR="002A0232" w:rsidRPr="005A42C4">
        <w:rPr>
          <w:rFonts w:ascii="Cambria" w:hAnsi="Cambria"/>
          <w:lang w:val="en-GB"/>
        </w:rPr>
        <w:t xml:space="preserve"> on the Liability Data Report</w:t>
      </w:r>
    </w:p>
    <w:p w14:paraId="794033F0" w14:textId="77777777" w:rsidR="002A0232" w:rsidRPr="005A42C4" w:rsidRDefault="002A0232" w:rsidP="009474F1">
      <w:pPr>
        <w:rPr>
          <w:rFonts w:ascii="Cambria" w:hAnsi="Cambria"/>
          <w:lang w:val="en-GB"/>
        </w:rPr>
      </w:pPr>
    </w:p>
    <w:p w14:paraId="1B86D57D" w14:textId="540AFDE0" w:rsidR="00E43D3D" w:rsidRDefault="00941FBB">
      <w:pPr>
        <w:pStyle w:val="TOC1"/>
        <w:rPr>
          <w:rFonts w:asciiTheme="minorHAnsi" w:hAnsiTheme="minorHAnsi"/>
          <w:noProof/>
          <w:sz w:val="22"/>
          <w:lang w:val="en-GB" w:eastAsia="en-GB"/>
        </w:rPr>
      </w:pPr>
      <w:r w:rsidRPr="005A42C4">
        <w:rPr>
          <w:rFonts w:ascii="Cambria" w:eastAsiaTheme="minorHAnsi" w:hAnsi="Cambria"/>
          <w:lang w:val="en-GB"/>
        </w:rPr>
        <w:fldChar w:fldCharType="begin"/>
      </w:r>
      <w:r w:rsidRPr="005A42C4">
        <w:rPr>
          <w:rFonts w:ascii="Cambria" w:eastAsiaTheme="minorHAnsi" w:hAnsi="Cambria"/>
          <w:lang w:val="en-GB"/>
        </w:rPr>
        <w:instrText xml:space="preserve"> TOC \o "1-3" \h \z \u </w:instrText>
      </w:r>
      <w:r w:rsidRPr="005A42C4">
        <w:rPr>
          <w:rFonts w:ascii="Cambria" w:eastAsiaTheme="minorHAnsi" w:hAnsi="Cambria"/>
          <w:lang w:val="en-GB"/>
        </w:rPr>
        <w:fldChar w:fldCharType="separate"/>
      </w:r>
      <w:hyperlink w:anchor="_Toc13755738" w:history="1">
        <w:r w:rsidR="00E43D3D" w:rsidRPr="0037519C">
          <w:rPr>
            <w:rStyle w:val="Hyperlink"/>
            <w:rFonts w:ascii="Cambria" w:hAnsi="Cambria"/>
            <w:noProof/>
            <w:lang w:val="en-GB"/>
          </w:rPr>
          <w:t>Part 1</w:t>
        </w:r>
        <w:r w:rsidR="00E43D3D">
          <w:rPr>
            <w:noProof/>
            <w:webHidden/>
          </w:rPr>
          <w:tab/>
        </w:r>
        <w:r w:rsidR="00E43D3D">
          <w:rPr>
            <w:noProof/>
            <w:webHidden/>
          </w:rPr>
          <w:fldChar w:fldCharType="begin"/>
        </w:r>
        <w:r w:rsidR="00E43D3D">
          <w:rPr>
            <w:noProof/>
            <w:webHidden/>
          </w:rPr>
          <w:instrText xml:space="preserve"> PAGEREF _Toc13755738 \h </w:instrText>
        </w:r>
        <w:r w:rsidR="00E43D3D">
          <w:rPr>
            <w:noProof/>
            <w:webHidden/>
          </w:rPr>
        </w:r>
        <w:r w:rsidR="00E43D3D">
          <w:rPr>
            <w:noProof/>
            <w:webHidden/>
          </w:rPr>
          <w:fldChar w:fldCharType="separate"/>
        </w:r>
        <w:r w:rsidR="00E43D3D">
          <w:rPr>
            <w:noProof/>
            <w:webHidden/>
          </w:rPr>
          <w:t>2</w:t>
        </w:r>
        <w:r w:rsidR="00E43D3D">
          <w:rPr>
            <w:noProof/>
            <w:webHidden/>
          </w:rPr>
          <w:fldChar w:fldCharType="end"/>
        </w:r>
      </w:hyperlink>
    </w:p>
    <w:p w14:paraId="1EB8E7CA" w14:textId="7AB91DA3" w:rsidR="00E43D3D" w:rsidRDefault="00E43D3D">
      <w:pPr>
        <w:pStyle w:val="TOC2"/>
        <w:rPr>
          <w:rFonts w:asciiTheme="minorHAnsi" w:hAnsiTheme="minorHAnsi"/>
          <w:noProof/>
          <w:sz w:val="22"/>
          <w:lang w:val="en-GB" w:eastAsia="en-GB"/>
        </w:rPr>
      </w:pPr>
      <w:hyperlink w:anchor="_Toc13755739" w:history="1">
        <w:r w:rsidRPr="0037519C">
          <w:rPr>
            <w:rStyle w:val="Hyperlink"/>
            <w:rFonts w:ascii="Cambria" w:hAnsi="Cambria"/>
            <w:noProof/>
            <w:lang w:val="en-GB"/>
          </w:rPr>
          <w:t>General Guidance</w:t>
        </w:r>
        <w:r>
          <w:rPr>
            <w:noProof/>
            <w:webHidden/>
          </w:rPr>
          <w:tab/>
        </w:r>
        <w:r>
          <w:rPr>
            <w:noProof/>
            <w:webHidden/>
          </w:rPr>
          <w:fldChar w:fldCharType="begin"/>
        </w:r>
        <w:r>
          <w:rPr>
            <w:noProof/>
            <w:webHidden/>
          </w:rPr>
          <w:instrText xml:space="preserve"> PAGEREF _Toc13755739 \h </w:instrText>
        </w:r>
        <w:r>
          <w:rPr>
            <w:noProof/>
            <w:webHidden/>
          </w:rPr>
        </w:r>
        <w:r>
          <w:rPr>
            <w:noProof/>
            <w:webHidden/>
          </w:rPr>
          <w:fldChar w:fldCharType="separate"/>
        </w:r>
        <w:r>
          <w:rPr>
            <w:noProof/>
            <w:webHidden/>
          </w:rPr>
          <w:t>2</w:t>
        </w:r>
        <w:r>
          <w:rPr>
            <w:noProof/>
            <w:webHidden/>
          </w:rPr>
          <w:fldChar w:fldCharType="end"/>
        </w:r>
      </w:hyperlink>
    </w:p>
    <w:p w14:paraId="36A0FFE2" w14:textId="03F194B5" w:rsidR="00E43D3D" w:rsidRDefault="00E43D3D">
      <w:pPr>
        <w:pStyle w:val="TOC3"/>
        <w:rPr>
          <w:rFonts w:asciiTheme="minorHAnsi" w:hAnsiTheme="minorHAnsi"/>
          <w:noProof/>
          <w:sz w:val="22"/>
          <w:lang w:val="en-GB" w:eastAsia="en-GB"/>
        </w:rPr>
      </w:pPr>
      <w:hyperlink w:anchor="_Toc13755740" w:history="1">
        <w:r w:rsidRPr="0037519C">
          <w:rPr>
            <w:rStyle w:val="Hyperlink"/>
            <w:rFonts w:ascii="Cambria" w:hAnsi="Cambria"/>
            <w:noProof/>
            <w:lang w:val="en-GB"/>
          </w:rPr>
          <w:t>1.</w:t>
        </w:r>
        <w:r>
          <w:rPr>
            <w:rFonts w:asciiTheme="minorHAnsi" w:hAnsiTheme="minorHAnsi"/>
            <w:noProof/>
            <w:sz w:val="22"/>
            <w:lang w:val="en-GB" w:eastAsia="en-GB"/>
          </w:rPr>
          <w:tab/>
        </w:r>
        <w:r w:rsidRPr="0037519C">
          <w:rPr>
            <w:rStyle w:val="Hyperlink"/>
            <w:rFonts w:ascii="Cambria" w:hAnsi="Cambria"/>
            <w:noProof/>
            <w:lang w:val="en-GB"/>
          </w:rPr>
          <w:t>Scope of the Report</w:t>
        </w:r>
        <w:r>
          <w:rPr>
            <w:noProof/>
            <w:webHidden/>
          </w:rPr>
          <w:tab/>
        </w:r>
        <w:r>
          <w:rPr>
            <w:noProof/>
            <w:webHidden/>
          </w:rPr>
          <w:fldChar w:fldCharType="begin"/>
        </w:r>
        <w:r>
          <w:rPr>
            <w:noProof/>
            <w:webHidden/>
          </w:rPr>
          <w:instrText xml:space="preserve"> PAGEREF _Toc13755740 \h </w:instrText>
        </w:r>
        <w:r>
          <w:rPr>
            <w:noProof/>
            <w:webHidden/>
          </w:rPr>
        </w:r>
        <w:r>
          <w:rPr>
            <w:noProof/>
            <w:webHidden/>
          </w:rPr>
          <w:fldChar w:fldCharType="separate"/>
        </w:r>
        <w:r>
          <w:rPr>
            <w:noProof/>
            <w:webHidden/>
          </w:rPr>
          <w:t>2</w:t>
        </w:r>
        <w:r>
          <w:rPr>
            <w:noProof/>
            <w:webHidden/>
          </w:rPr>
          <w:fldChar w:fldCharType="end"/>
        </w:r>
      </w:hyperlink>
    </w:p>
    <w:p w14:paraId="59855039" w14:textId="61131C6C" w:rsidR="00E43D3D" w:rsidRDefault="00E43D3D">
      <w:pPr>
        <w:pStyle w:val="TOC3"/>
        <w:rPr>
          <w:rFonts w:asciiTheme="minorHAnsi" w:hAnsiTheme="minorHAnsi"/>
          <w:noProof/>
          <w:sz w:val="22"/>
          <w:lang w:val="en-GB" w:eastAsia="en-GB"/>
        </w:rPr>
      </w:pPr>
      <w:hyperlink w:anchor="_Toc13755741" w:history="1">
        <w:r w:rsidRPr="0037519C">
          <w:rPr>
            <w:rStyle w:val="Hyperlink"/>
            <w:rFonts w:ascii="Cambria" w:hAnsi="Cambria"/>
            <w:noProof/>
            <w:lang w:val="en-GB"/>
          </w:rPr>
          <w:t>2.</w:t>
        </w:r>
        <w:r>
          <w:rPr>
            <w:rFonts w:asciiTheme="minorHAnsi" w:hAnsiTheme="minorHAnsi"/>
            <w:noProof/>
            <w:sz w:val="22"/>
            <w:lang w:val="en-GB" w:eastAsia="en-GB"/>
          </w:rPr>
          <w:tab/>
        </w:r>
        <w:r w:rsidRPr="0037519C">
          <w:rPr>
            <w:rStyle w:val="Hyperlink"/>
            <w:rFonts w:ascii="Cambria" w:hAnsi="Cambria"/>
            <w:noProof/>
            <w:lang w:val="en-GB"/>
          </w:rPr>
          <w:t>Governance</w:t>
        </w:r>
        <w:r>
          <w:rPr>
            <w:noProof/>
            <w:webHidden/>
          </w:rPr>
          <w:tab/>
        </w:r>
        <w:r>
          <w:rPr>
            <w:noProof/>
            <w:webHidden/>
          </w:rPr>
          <w:fldChar w:fldCharType="begin"/>
        </w:r>
        <w:r>
          <w:rPr>
            <w:noProof/>
            <w:webHidden/>
          </w:rPr>
          <w:instrText xml:space="preserve"> PAGEREF _Toc13755741 \h </w:instrText>
        </w:r>
        <w:r>
          <w:rPr>
            <w:noProof/>
            <w:webHidden/>
          </w:rPr>
        </w:r>
        <w:r>
          <w:rPr>
            <w:noProof/>
            <w:webHidden/>
          </w:rPr>
          <w:fldChar w:fldCharType="separate"/>
        </w:r>
        <w:r>
          <w:rPr>
            <w:noProof/>
            <w:webHidden/>
          </w:rPr>
          <w:t>3</w:t>
        </w:r>
        <w:r>
          <w:rPr>
            <w:noProof/>
            <w:webHidden/>
          </w:rPr>
          <w:fldChar w:fldCharType="end"/>
        </w:r>
      </w:hyperlink>
    </w:p>
    <w:p w14:paraId="6A6393B7" w14:textId="03CDCC17" w:rsidR="00E43D3D" w:rsidRDefault="00E43D3D">
      <w:pPr>
        <w:pStyle w:val="TOC3"/>
        <w:rPr>
          <w:rFonts w:asciiTheme="minorHAnsi" w:hAnsiTheme="minorHAnsi"/>
          <w:noProof/>
          <w:sz w:val="22"/>
          <w:lang w:val="en-GB" w:eastAsia="en-GB"/>
        </w:rPr>
      </w:pPr>
      <w:hyperlink w:anchor="_Toc13755742" w:history="1">
        <w:r w:rsidRPr="0037519C">
          <w:rPr>
            <w:rStyle w:val="Hyperlink"/>
            <w:rFonts w:ascii="Cambria" w:hAnsi="Cambria"/>
            <w:noProof/>
            <w:lang w:val="en-GB"/>
          </w:rPr>
          <w:t>3.</w:t>
        </w:r>
        <w:r>
          <w:rPr>
            <w:rFonts w:asciiTheme="minorHAnsi" w:hAnsiTheme="minorHAnsi"/>
            <w:noProof/>
            <w:sz w:val="22"/>
            <w:lang w:val="en-GB" w:eastAsia="en-GB"/>
          </w:rPr>
          <w:tab/>
        </w:r>
        <w:r w:rsidRPr="0037519C">
          <w:rPr>
            <w:rStyle w:val="Hyperlink"/>
            <w:rFonts w:ascii="Cambria" w:hAnsi="Cambria"/>
            <w:noProof/>
            <w:lang w:val="en-GB"/>
          </w:rPr>
          <w:t>Reporting Process</w:t>
        </w:r>
        <w:r>
          <w:rPr>
            <w:noProof/>
            <w:webHidden/>
          </w:rPr>
          <w:tab/>
        </w:r>
        <w:r>
          <w:rPr>
            <w:noProof/>
            <w:webHidden/>
          </w:rPr>
          <w:fldChar w:fldCharType="begin"/>
        </w:r>
        <w:r>
          <w:rPr>
            <w:noProof/>
            <w:webHidden/>
          </w:rPr>
          <w:instrText xml:space="preserve"> PAGEREF _Toc13755742 \h </w:instrText>
        </w:r>
        <w:r>
          <w:rPr>
            <w:noProof/>
            <w:webHidden/>
          </w:rPr>
        </w:r>
        <w:r>
          <w:rPr>
            <w:noProof/>
            <w:webHidden/>
          </w:rPr>
          <w:fldChar w:fldCharType="separate"/>
        </w:r>
        <w:r>
          <w:rPr>
            <w:noProof/>
            <w:webHidden/>
          </w:rPr>
          <w:t>4</w:t>
        </w:r>
        <w:r>
          <w:rPr>
            <w:noProof/>
            <w:webHidden/>
          </w:rPr>
          <w:fldChar w:fldCharType="end"/>
        </w:r>
      </w:hyperlink>
    </w:p>
    <w:p w14:paraId="0926BABC" w14:textId="085EE0C9" w:rsidR="00E43D3D" w:rsidRDefault="00E43D3D">
      <w:pPr>
        <w:pStyle w:val="TOC3"/>
        <w:rPr>
          <w:rFonts w:asciiTheme="minorHAnsi" w:hAnsiTheme="minorHAnsi"/>
          <w:noProof/>
          <w:sz w:val="22"/>
          <w:lang w:val="en-GB" w:eastAsia="en-GB"/>
        </w:rPr>
      </w:pPr>
      <w:hyperlink w:anchor="_Toc13755743" w:history="1">
        <w:r w:rsidRPr="0037519C">
          <w:rPr>
            <w:rStyle w:val="Hyperlink"/>
            <w:rFonts w:ascii="Cambria" w:hAnsi="Cambria"/>
            <w:noProof/>
            <w:lang w:val="en-GB"/>
          </w:rPr>
          <w:t>4.</w:t>
        </w:r>
        <w:r>
          <w:rPr>
            <w:rFonts w:asciiTheme="minorHAnsi" w:hAnsiTheme="minorHAnsi"/>
            <w:noProof/>
            <w:sz w:val="22"/>
            <w:lang w:val="en-GB" w:eastAsia="en-GB"/>
          </w:rPr>
          <w:tab/>
        </w:r>
        <w:r w:rsidRPr="0037519C">
          <w:rPr>
            <w:rStyle w:val="Hyperlink"/>
            <w:rFonts w:ascii="Cambria" w:hAnsi="Cambria"/>
            <w:noProof/>
            <w:lang w:val="en-GB"/>
          </w:rPr>
          <w:t>Maturity Breakdowns</w:t>
        </w:r>
        <w:r>
          <w:rPr>
            <w:noProof/>
            <w:webHidden/>
          </w:rPr>
          <w:tab/>
        </w:r>
        <w:r>
          <w:rPr>
            <w:noProof/>
            <w:webHidden/>
          </w:rPr>
          <w:fldChar w:fldCharType="begin"/>
        </w:r>
        <w:r>
          <w:rPr>
            <w:noProof/>
            <w:webHidden/>
          </w:rPr>
          <w:instrText xml:space="preserve"> PAGEREF _Toc13755743 \h </w:instrText>
        </w:r>
        <w:r>
          <w:rPr>
            <w:noProof/>
            <w:webHidden/>
          </w:rPr>
        </w:r>
        <w:r>
          <w:rPr>
            <w:noProof/>
            <w:webHidden/>
          </w:rPr>
          <w:fldChar w:fldCharType="separate"/>
        </w:r>
        <w:r>
          <w:rPr>
            <w:noProof/>
            <w:webHidden/>
          </w:rPr>
          <w:t>4</w:t>
        </w:r>
        <w:r>
          <w:rPr>
            <w:noProof/>
            <w:webHidden/>
          </w:rPr>
          <w:fldChar w:fldCharType="end"/>
        </w:r>
      </w:hyperlink>
    </w:p>
    <w:p w14:paraId="2DD67D50" w14:textId="7CAB8535" w:rsidR="00E43D3D" w:rsidRDefault="00E43D3D">
      <w:pPr>
        <w:pStyle w:val="TOC3"/>
        <w:rPr>
          <w:rFonts w:asciiTheme="minorHAnsi" w:hAnsiTheme="minorHAnsi"/>
          <w:noProof/>
          <w:sz w:val="22"/>
          <w:lang w:val="en-GB" w:eastAsia="en-GB"/>
        </w:rPr>
      </w:pPr>
      <w:hyperlink w:anchor="_Toc13755744" w:history="1">
        <w:r w:rsidRPr="0037519C">
          <w:rPr>
            <w:rStyle w:val="Hyperlink"/>
            <w:rFonts w:ascii="Cambria" w:hAnsi="Cambria"/>
            <w:noProof/>
            <w:lang w:val="en-GB"/>
          </w:rPr>
          <w:t>5.</w:t>
        </w:r>
        <w:r>
          <w:rPr>
            <w:rFonts w:asciiTheme="minorHAnsi" w:hAnsiTheme="minorHAnsi"/>
            <w:noProof/>
            <w:sz w:val="22"/>
            <w:lang w:val="en-GB" w:eastAsia="en-GB"/>
          </w:rPr>
          <w:tab/>
        </w:r>
        <w:r w:rsidRPr="0037519C">
          <w:rPr>
            <w:rStyle w:val="Hyperlink"/>
            <w:rFonts w:ascii="Cambria" w:hAnsi="Cambria"/>
            <w:noProof/>
            <w:lang w:val="en-GB"/>
          </w:rPr>
          <w:t>Amount Reporting</w:t>
        </w:r>
        <w:r>
          <w:rPr>
            <w:noProof/>
            <w:webHidden/>
          </w:rPr>
          <w:tab/>
        </w:r>
        <w:r>
          <w:rPr>
            <w:noProof/>
            <w:webHidden/>
          </w:rPr>
          <w:fldChar w:fldCharType="begin"/>
        </w:r>
        <w:r>
          <w:rPr>
            <w:noProof/>
            <w:webHidden/>
          </w:rPr>
          <w:instrText xml:space="preserve"> PAGEREF _Toc13755744 \h </w:instrText>
        </w:r>
        <w:r>
          <w:rPr>
            <w:noProof/>
            <w:webHidden/>
          </w:rPr>
        </w:r>
        <w:r>
          <w:rPr>
            <w:noProof/>
            <w:webHidden/>
          </w:rPr>
          <w:fldChar w:fldCharType="separate"/>
        </w:r>
        <w:r>
          <w:rPr>
            <w:noProof/>
            <w:webHidden/>
          </w:rPr>
          <w:t>5</w:t>
        </w:r>
        <w:r>
          <w:rPr>
            <w:noProof/>
            <w:webHidden/>
          </w:rPr>
          <w:fldChar w:fldCharType="end"/>
        </w:r>
      </w:hyperlink>
    </w:p>
    <w:p w14:paraId="189236B0" w14:textId="5C5B4DF7" w:rsidR="00E43D3D" w:rsidRDefault="00E43D3D">
      <w:pPr>
        <w:pStyle w:val="TOC3"/>
        <w:rPr>
          <w:rFonts w:asciiTheme="minorHAnsi" w:hAnsiTheme="minorHAnsi"/>
          <w:noProof/>
          <w:sz w:val="22"/>
          <w:lang w:val="en-GB" w:eastAsia="en-GB"/>
        </w:rPr>
      </w:pPr>
      <w:hyperlink w:anchor="_Toc13755745" w:history="1">
        <w:r w:rsidRPr="0037519C">
          <w:rPr>
            <w:rStyle w:val="Hyperlink"/>
            <w:rFonts w:ascii="Cambria" w:hAnsi="Cambria"/>
            <w:noProof/>
            <w:lang w:val="en-GB"/>
          </w:rPr>
          <w:t>6.</w:t>
        </w:r>
        <w:r>
          <w:rPr>
            <w:rFonts w:asciiTheme="minorHAnsi" w:hAnsiTheme="minorHAnsi"/>
            <w:noProof/>
            <w:sz w:val="22"/>
            <w:lang w:val="en-GB" w:eastAsia="en-GB"/>
          </w:rPr>
          <w:tab/>
        </w:r>
        <w:r w:rsidRPr="0037519C">
          <w:rPr>
            <w:rStyle w:val="Hyperlink"/>
            <w:rFonts w:ascii="Cambria" w:hAnsi="Cambria"/>
            <w:noProof/>
            <w:lang w:val="en-GB"/>
          </w:rPr>
          <w:t>Insolvency Ranking</w:t>
        </w:r>
        <w:r>
          <w:rPr>
            <w:noProof/>
            <w:webHidden/>
          </w:rPr>
          <w:tab/>
        </w:r>
        <w:r>
          <w:rPr>
            <w:noProof/>
            <w:webHidden/>
          </w:rPr>
          <w:fldChar w:fldCharType="begin"/>
        </w:r>
        <w:r>
          <w:rPr>
            <w:noProof/>
            <w:webHidden/>
          </w:rPr>
          <w:instrText xml:space="preserve"> PAGEREF _Toc13755745 \h </w:instrText>
        </w:r>
        <w:r>
          <w:rPr>
            <w:noProof/>
            <w:webHidden/>
          </w:rPr>
        </w:r>
        <w:r>
          <w:rPr>
            <w:noProof/>
            <w:webHidden/>
          </w:rPr>
          <w:fldChar w:fldCharType="separate"/>
        </w:r>
        <w:r>
          <w:rPr>
            <w:noProof/>
            <w:webHidden/>
          </w:rPr>
          <w:t>5</w:t>
        </w:r>
        <w:r>
          <w:rPr>
            <w:noProof/>
            <w:webHidden/>
          </w:rPr>
          <w:fldChar w:fldCharType="end"/>
        </w:r>
      </w:hyperlink>
    </w:p>
    <w:p w14:paraId="3C48C27F" w14:textId="361D05CA" w:rsidR="00E43D3D" w:rsidRDefault="00E43D3D">
      <w:pPr>
        <w:pStyle w:val="TOC3"/>
        <w:rPr>
          <w:rFonts w:asciiTheme="minorHAnsi" w:hAnsiTheme="minorHAnsi"/>
          <w:noProof/>
          <w:sz w:val="22"/>
          <w:lang w:val="en-GB" w:eastAsia="en-GB"/>
        </w:rPr>
      </w:pPr>
      <w:hyperlink w:anchor="_Toc13755746" w:history="1">
        <w:r w:rsidRPr="0037519C">
          <w:rPr>
            <w:rStyle w:val="Hyperlink"/>
            <w:rFonts w:ascii="Cambria" w:hAnsi="Cambria"/>
            <w:noProof/>
            <w:lang w:val="en-GB"/>
          </w:rPr>
          <w:t>7.</w:t>
        </w:r>
        <w:r>
          <w:rPr>
            <w:rFonts w:asciiTheme="minorHAnsi" w:hAnsiTheme="minorHAnsi"/>
            <w:noProof/>
            <w:sz w:val="22"/>
            <w:lang w:val="en-GB" w:eastAsia="en-GB"/>
          </w:rPr>
          <w:tab/>
        </w:r>
        <w:r w:rsidRPr="0037519C">
          <w:rPr>
            <w:rStyle w:val="Hyperlink"/>
            <w:rFonts w:ascii="Cambria" w:hAnsi="Cambria"/>
            <w:noProof/>
            <w:lang w:val="en-GB"/>
          </w:rPr>
          <w:t>Validation rules</w:t>
        </w:r>
        <w:r>
          <w:rPr>
            <w:noProof/>
            <w:webHidden/>
          </w:rPr>
          <w:tab/>
        </w:r>
        <w:r>
          <w:rPr>
            <w:noProof/>
            <w:webHidden/>
          </w:rPr>
          <w:fldChar w:fldCharType="begin"/>
        </w:r>
        <w:r>
          <w:rPr>
            <w:noProof/>
            <w:webHidden/>
          </w:rPr>
          <w:instrText xml:space="preserve"> PAGEREF _Toc13755746 \h </w:instrText>
        </w:r>
        <w:r>
          <w:rPr>
            <w:noProof/>
            <w:webHidden/>
          </w:rPr>
        </w:r>
        <w:r>
          <w:rPr>
            <w:noProof/>
            <w:webHidden/>
          </w:rPr>
          <w:fldChar w:fldCharType="separate"/>
        </w:r>
        <w:r>
          <w:rPr>
            <w:noProof/>
            <w:webHidden/>
          </w:rPr>
          <w:t>6</w:t>
        </w:r>
        <w:r>
          <w:rPr>
            <w:noProof/>
            <w:webHidden/>
          </w:rPr>
          <w:fldChar w:fldCharType="end"/>
        </w:r>
      </w:hyperlink>
    </w:p>
    <w:p w14:paraId="4E5A63B1" w14:textId="55F198CF" w:rsidR="00E43D3D" w:rsidRDefault="00E43D3D">
      <w:pPr>
        <w:pStyle w:val="TOC1"/>
        <w:rPr>
          <w:rFonts w:asciiTheme="minorHAnsi" w:hAnsiTheme="minorHAnsi"/>
          <w:noProof/>
          <w:sz w:val="22"/>
          <w:lang w:val="en-GB" w:eastAsia="en-GB"/>
        </w:rPr>
      </w:pPr>
      <w:hyperlink w:anchor="_Toc13755747" w:history="1">
        <w:r w:rsidRPr="0037519C">
          <w:rPr>
            <w:rStyle w:val="Hyperlink"/>
            <w:rFonts w:ascii="Cambria" w:hAnsi="Cambria"/>
            <w:noProof/>
            <w:lang w:val="en-GB"/>
          </w:rPr>
          <w:t>Part 2</w:t>
        </w:r>
        <w:r>
          <w:rPr>
            <w:noProof/>
            <w:webHidden/>
          </w:rPr>
          <w:tab/>
        </w:r>
        <w:r>
          <w:rPr>
            <w:noProof/>
            <w:webHidden/>
          </w:rPr>
          <w:fldChar w:fldCharType="begin"/>
        </w:r>
        <w:r>
          <w:rPr>
            <w:noProof/>
            <w:webHidden/>
          </w:rPr>
          <w:instrText xml:space="preserve"> PAGEREF _Toc13755747 \h </w:instrText>
        </w:r>
        <w:r>
          <w:rPr>
            <w:noProof/>
            <w:webHidden/>
          </w:rPr>
        </w:r>
        <w:r>
          <w:rPr>
            <w:noProof/>
            <w:webHidden/>
          </w:rPr>
          <w:fldChar w:fldCharType="separate"/>
        </w:r>
        <w:r>
          <w:rPr>
            <w:noProof/>
            <w:webHidden/>
          </w:rPr>
          <w:t>7</w:t>
        </w:r>
        <w:r>
          <w:rPr>
            <w:noProof/>
            <w:webHidden/>
          </w:rPr>
          <w:fldChar w:fldCharType="end"/>
        </w:r>
      </w:hyperlink>
    </w:p>
    <w:p w14:paraId="7CAF6A2B" w14:textId="4322CADE" w:rsidR="00E43D3D" w:rsidRDefault="00E43D3D">
      <w:pPr>
        <w:pStyle w:val="TOC2"/>
        <w:rPr>
          <w:rFonts w:asciiTheme="minorHAnsi" w:hAnsiTheme="minorHAnsi"/>
          <w:noProof/>
          <w:sz w:val="22"/>
          <w:lang w:val="en-GB" w:eastAsia="en-GB"/>
        </w:rPr>
      </w:pPr>
      <w:hyperlink w:anchor="_Toc13755748" w:history="1">
        <w:r w:rsidRPr="0037519C">
          <w:rPr>
            <w:rStyle w:val="Hyperlink"/>
            <w:rFonts w:ascii="Cambria" w:hAnsi="Cambria"/>
            <w:noProof/>
            <w:lang w:val="en-GB"/>
          </w:rPr>
          <w:t>SRB Resolution Templates</w:t>
        </w:r>
        <w:r>
          <w:rPr>
            <w:noProof/>
            <w:webHidden/>
          </w:rPr>
          <w:tab/>
        </w:r>
        <w:r>
          <w:rPr>
            <w:noProof/>
            <w:webHidden/>
          </w:rPr>
          <w:fldChar w:fldCharType="begin"/>
        </w:r>
        <w:r>
          <w:rPr>
            <w:noProof/>
            <w:webHidden/>
          </w:rPr>
          <w:instrText xml:space="preserve"> PAGEREF _Toc13755748 \h </w:instrText>
        </w:r>
        <w:r>
          <w:rPr>
            <w:noProof/>
            <w:webHidden/>
          </w:rPr>
        </w:r>
        <w:r>
          <w:rPr>
            <w:noProof/>
            <w:webHidden/>
          </w:rPr>
          <w:fldChar w:fldCharType="separate"/>
        </w:r>
        <w:r>
          <w:rPr>
            <w:noProof/>
            <w:webHidden/>
          </w:rPr>
          <w:t>7</w:t>
        </w:r>
        <w:r>
          <w:rPr>
            <w:noProof/>
            <w:webHidden/>
          </w:rPr>
          <w:fldChar w:fldCharType="end"/>
        </w:r>
      </w:hyperlink>
    </w:p>
    <w:p w14:paraId="7088F0E6" w14:textId="56B7A965" w:rsidR="00E43D3D" w:rsidRDefault="00E43D3D">
      <w:pPr>
        <w:pStyle w:val="TOC1"/>
        <w:rPr>
          <w:rFonts w:asciiTheme="minorHAnsi" w:hAnsiTheme="minorHAnsi"/>
          <w:noProof/>
          <w:sz w:val="22"/>
          <w:lang w:val="en-GB" w:eastAsia="en-GB"/>
        </w:rPr>
      </w:pPr>
      <w:hyperlink w:anchor="_Toc13755749" w:history="1">
        <w:r w:rsidRPr="0037519C">
          <w:rPr>
            <w:rStyle w:val="Hyperlink"/>
            <w:rFonts w:ascii="Cambria" w:hAnsi="Cambria"/>
            <w:noProof/>
            <w:lang w:val="en-GB"/>
          </w:rPr>
          <w:t>Part 3</w:t>
        </w:r>
        <w:r>
          <w:rPr>
            <w:noProof/>
            <w:webHidden/>
          </w:rPr>
          <w:tab/>
        </w:r>
        <w:r>
          <w:rPr>
            <w:noProof/>
            <w:webHidden/>
          </w:rPr>
          <w:fldChar w:fldCharType="begin"/>
        </w:r>
        <w:r>
          <w:rPr>
            <w:noProof/>
            <w:webHidden/>
          </w:rPr>
          <w:instrText xml:space="preserve"> PAGEREF _Toc13755749 \h </w:instrText>
        </w:r>
        <w:r>
          <w:rPr>
            <w:noProof/>
            <w:webHidden/>
          </w:rPr>
        </w:r>
        <w:r>
          <w:rPr>
            <w:noProof/>
            <w:webHidden/>
          </w:rPr>
          <w:fldChar w:fldCharType="separate"/>
        </w:r>
        <w:r>
          <w:rPr>
            <w:noProof/>
            <w:webHidden/>
          </w:rPr>
          <w:t>23</w:t>
        </w:r>
        <w:r>
          <w:rPr>
            <w:noProof/>
            <w:webHidden/>
          </w:rPr>
          <w:fldChar w:fldCharType="end"/>
        </w:r>
      </w:hyperlink>
    </w:p>
    <w:p w14:paraId="508E9C5E" w14:textId="030B6EE3" w:rsidR="00E43D3D" w:rsidRDefault="00E43D3D">
      <w:pPr>
        <w:pStyle w:val="TOC2"/>
        <w:rPr>
          <w:rFonts w:asciiTheme="minorHAnsi" w:hAnsiTheme="minorHAnsi"/>
          <w:noProof/>
          <w:sz w:val="22"/>
          <w:lang w:val="en-GB" w:eastAsia="en-GB"/>
        </w:rPr>
      </w:pPr>
      <w:hyperlink w:anchor="_Toc13755750" w:history="1">
        <w:r w:rsidRPr="0037519C">
          <w:rPr>
            <w:rStyle w:val="Hyperlink"/>
            <w:rFonts w:ascii="Cambria" w:hAnsi="Cambria"/>
            <w:noProof/>
            <w:lang w:val="en-GB"/>
          </w:rPr>
          <w:t>Template Related Guidance</w:t>
        </w:r>
        <w:r>
          <w:rPr>
            <w:noProof/>
            <w:webHidden/>
          </w:rPr>
          <w:tab/>
        </w:r>
        <w:r>
          <w:rPr>
            <w:noProof/>
            <w:webHidden/>
          </w:rPr>
          <w:fldChar w:fldCharType="begin"/>
        </w:r>
        <w:r>
          <w:rPr>
            <w:noProof/>
            <w:webHidden/>
          </w:rPr>
          <w:instrText xml:space="preserve"> PAGEREF _Toc13755750 \h </w:instrText>
        </w:r>
        <w:r>
          <w:rPr>
            <w:noProof/>
            <w:webHidden/>
          </w:rPr>
        </w:r>
        <w:r>
          <w:rPr>
            <w:noProof/>
            <w:webHidden/>
          </w:rPr>
          <w:fldChar w:fldCharType="separate"/>
        </w:r>
        <w:r>
          <w:rPr>
            <w:noProof/>
            <w:webHidden/>
          </w:rPr>
          <w:t>23</w:t>
        </w:r>
        <w:r>
          <w:rPr>
            <w:noProof/>
            <w:webHidden/>
          </w:rPr>
          <w:fldChar w:fldCharType="end"/>
        </w:r>
      </w:hyperlink>
    </w:p>
    <w:p w14:paraId="0A11A2E2" w14:textId="56C4FE6B" w:rsidR="00E43D3D" w:rsidRDefault="00E43D3D">
      <w:pPr>
        <w:pStyle w:val="TOC3"/>
        <w:rPr>
          <w:rFonts w:asciiTheme="minorHAnsi" w:hAnsiTheme="minorHAnsi"/>
          <w:noProof/>
          <w:sz w:val="22"/>
          <w:lang w:val="en-GB" w:eastAsia="en-GB"/>
        </w:rPr>
      </w:pPr>
      <w:hyperlink w:anchor="_Toc13755751" w:history="1">
        <w:r w:rsidRPr="0037519C">
          <w:rPr>
            <w:rStyle w:val="Hyperlink"/>
            <w:rFonts w:ascii="Cambria" w:hAnsi="Cambria"/>
            <w:noProof/>
            <w:lang w:val="en-GB"/>
          </w:rPr>
          <w:t>1.</w:t>
        </w:r>
        <w:r>
          <w:rPr>
            <w:rFonts w:asciiTheme="minorHAnsi" w:hAnsiTheme="minorHAnsi"/>
            <w:noProof/>
            <w:sz w:val="22"/>
            <w:lang w:val="en-GB" w:eastAsia="en-GB"/>
          </w:rPr>
          <w:tab/>
        </w:r>
        <w:r w:rsidRPr="0037519C">
          <w:rPr>
            <w:rStyle w:val="Hyperlink"/>
            <w:rFonts w:ascii="Cambria" w:hAnsi="Cambria"/>
            <w:noProof/>
            <w:lang w:val="en-GB"/>
          </w:rPr>
          <w:t>T99.00 - Identification of the Report</w:t>
        </w:r>
        <w:r>
          <w:rPr>
            <w:noProof/>
            <w:webHidden/>
          </w:rPr>
          <w:tab/>
        </w:r>
        <w:r>
          <w:rPr>
            <w:noProof/>
            <w:webHidden/>
          </w:rPr>
          <w:fldChar w:fldCharType="begin"/>
        </w:r>
        <w:r>
          <w:rPr>
            <w:noProof/>
            <w:webHidden/>
          </w:rPr>
          <w:instrText xml:space="preserve"> PAGEREF _Toc13755751 \h </w:instrText>
        </w:r>
        <w:r>
          <w:rPr>
            <w:noProof/>
            <w:webHidden/>
          </w:rPr>
        </w:r>
        <w:r>
          <w:rPr>
            <w:noProof/>
            <w:webHidden/>
          </w:rPr>
          <w:fldChar w:fldCharType="separate"/>
        </w:r>
        <w:r>
          <w:rPr>
            <w:noProof/>
            <w:webHidden/>
          </w:rPr>
          <w:t>23</w:t>
        </w:r>
        <w:r>
          <w:rPr>
            <w:noProof/>
            <w:webHidden/>
          </w:rPr>
          <w:fldChar w:fldCharType="end"/>
        </w:r>
      </w:hyperlink>
    </w:p>
    <w:p w14:paraId="61A27EAF" w14:textId="643CBD8D" w:rsidR="00E43D3D" w:rsidRDefault="00E43D3D">
      <w:pPr>
        <w:pStyle w:val="TOC3"/>
        <w:rPr>
          <w:rFonts w:asciiTheme="minorHAnsi" w:hAnsiTheme="minorHAnsi"/>
          <w:noProof/>
          <w:sz w:val="22"/>
          <w:lang w:val="en-GB" w:eastAsia="en-GB"/>
        </w:rPr>
      </w:pPr>
      <w:hyperlink w:anchor="_Toc13755752" w:history="1">
        <w:r w:rsidRPr="0037519C">
          <w:rPr>
            <w:rStyle w:val="Hyperlink"/>
            <w:rFonts w:ascii="Cambria" w:hAnsi="Cambria"/>
            <w:noProof/>
            <w:lang w:val="en-GB"/>
          </w:rPr>
          <w:t>2.</w:t>
        </w:r>
        <w:r>
          <w:rPr>
            <w:rFonts w:asciiTheme="minorHAnsi" w:hAnsiTheme="minorHAnsi"/>
            <w:noProof/>
            <w:sz w:val="22"/>
            <w:lang w:val="en-GB" w:eastAsia="en-GB"/>
          </w:rPr>
          <w:tab/>
        </w:r>
        <w:r w:rsidRPr="0037519C">
          <w:rPr>
            <w:rStyle w:val="Hyperlink"/>
            <w:rFonts w:ascii="Cambria" w:hAnsi="Cambria"/>
            <w:noProof/>
            <w:lang w:val="en-GB"/>
          </w:rPr>
          <w:t>T01.00 - Liability Structure</w:t>
        </w:r>
        <w:r>
          <w:rPr>
            <w:noProof/>
            <w:webHidden/>
          </w:rPr>
          <w:tab/>
        </w:r>
        <w:r>
          <w:rPr>
            <w:noProof/>
            <w:webHidden/>
          </w:rPr>
          <w:fldChar w:fldCharType="begin"/>
        </w:r>
        <w:r>
          <w:rPr>
            <w:noProof/>
            <w:webHidden/>
          </w:rPr>
          <w:instrText xml:space="preserve"> PAGEREF _Toc13755752 \h </w:instrText>
        </w:r>
        <w:r>
          <w:rPr>
            <w:noProof/>
            <w:webHidden/>
          </w:rPr>
        </w:r>
        <w:r>
          <w:rPr>
            <w:noProof/>
            <w:webHidden/>
          </w:rPr>
          <w:fldChar w:fldCharType="separate"/>
        </w:r>
        <w:r>
          <w:rPr>
            <w:noProof/>
            <w:webHidden/>
          </w:rPr>
          <w:t>24</w:t>
        </w:r>
        <w:r>
          <w:rPr>
            <w:noProof/>
            <w:webHidden/>
          </w:rPr>
          <w:fldChar w:fldCharType="end"/>
        </w:r>
      </w:hyperlink>
    </w:p>
    <w:p w14:paraId="31E2DD76" w14:textId="67C4F18F" w:rsidR="00E43D3D" w:rsidRDefault="00E43D3D">
      <w:pPr>
        <w:pStyle w:val="TOC3"/>
        <w:rPr>
          <w:rFonts w:asciiTheme="minorHAnsi" w:hAnsiTheme="minorHAnsi"/>
          <w:noProof/>
          <w:sz w:val="22"/>
          <w:lang w:val="en-GB" w:eastAsia="en-GB"/>
        </w:rPr>
      </w:pPr>
      <w:hyperlink w:anchor="_Toc13755753" w:history="1">
        <w:r w:rsidRPr="0037519C">
          <w:rPr>
            <w:rStyle w:val="Hyperlink"/>
            <w:rFonts w:ascii="Cambria" w:hAnsi="Cambria"/>
            <w:noProof/>
            <w:lang w:val="en-GB"/>
          </w:rPr>
          <w:t>3.</w:t>
        </w:r>
        <w:r>
          <w:rPr>
            <w:rFonts w:asciiTheme="minorHAnsi" w:hAnsiTheme="minorHAnsi"/>
            <w:noProof/>
            <w:sz w:val="22"/>
            <w:lang w:val="en-GB" w:eastAsia="en-GB"/>
          </w:rPr>
          <w:tab/>
        </w:r>
        <w:r w:rsidRPr="0037519C">
          <w:rPr>
            <w:rStyle w:val="Hyperlink"/>
            <w:rFonts w:ascii="Cambria" w:hAnsi="Cambria"/>
            <w:noProof/>
            <w:lang w:val="en-GB"/>
          </w:rPr>
          <w:t>T02.00 - Own Funds</w:t>
        </w:r>
        <w:r>
          <w:rPr>
            <w:noProof/>
            <w:webHidden/>
          </w:rPr>
          <w:tab/>
        </w:r>
        <w:r>
          <w:rPr>
            <w:noProof/>
            <w:webHidden/>
          </w:rPr>
          <w:fldChar w:fldCharType="begin"/>
        </w:r>
        <w:r>
          <w:rPr>
            <w:noProof/>
            <w:webHidden/>
          </w:rPr>
          <w:instrText xml:space="preserve"> PAGEREF _Toc13755753 \h </w:instrText>
        </w:r>
        <w:r>
          <w:rPr>
            <w:noProof/>
            <w:webHidden/>
          </w:rPr>
        </w:r>
        <w:r>
          <w:rPr>
            <w:noProof/>
            <w:webHidden/>
          </w:rPr>
          <w:fldChar w:fldCharType="separate"/>
        </w:r>
        <w:r>
          <w:rPr>
            <w:noProof/>
            <w:webHidden/>
          </w:rPr>
          <w:t>31</w:t>
        </w:r>
        <w:r>
          <w:rPr>
            <w:noProof/>
            <w:webHidden/>
          </w:rPr>
          <w:fldChar w:fldCharType="end"/>
        </w:r>
      </w:hyperlink>
    </w:p>
    <w:p w14:paraId="6756C232" w14:textId="407FAF92" w:rsidR="00E43D3D" w:rsidRDefault="00E43D3D">
      <w:pPr>
        <w:pStyle w:val="TOC3"/>
        <w:rPr>
          <w:rFonts w:asciiTheme="minorHAnsi" w:hAnsiTheme="minorHAnsi"/>
          <w:noProof/>
          <w:sz w:val="22"/>
          <w:lang w:val="en-GB" w:eastAsia="en-GB"/>
        </w:rPr>
      </w:pPr>
      <w:hyperlink w:anchor="_Toc13755754" w:history="1">
        <w:r w:rsidRPr="0037519C">
          <w:rPr>
            <w:rStyle w:val="Hyperlink"/>
            <w:rFonts w:ascii="Cambria" w:hAnsi="Cambria"/>
            <w:noProof/>
            <w:lang w:val="en-GB"/>
          </w:rPr>
          <w:t>4.</w:t>
        </w:r>
        <w:r>
          <w:rPr>
            <w:rFonts w:asciiTheme="minorHAnsi" w:hAnsiTheme="minorHAnsi"/>
            <w:noProof/>
            <w:sz w:val="22"/>
            <w:lang w:val="en-GB" w:eastAsia="en-GB"/>
          </w:rPr>
          <w:tab/>
        </w:r>
        <w:r w:rsidRPr="0037519C">
          <w:rPr>
            <w:rStyle w:val="Hyperlink"/>
            <w:rFonts w:ascii="Cambria" w:hAnsi="Cambria"/>
            <w:noProof/>
            <w:lang w:val="en-GB"/>
          </w:rPr>
          <w:t>T03.01 - Intragroup Liabilities</w:t>
        </w:r>
        <w:r>
          <w:rPr>
            <w:noProof/>
            <w:webHidden/>
          </w:rPr>
          <w:tab/>
        </w:r>
        <w:r>
          <w:rPr>
            <w:noProof/>
            <w:webHidden/>
          </w:rPr>
          <w:fldChar w:fldCharType="begin"/>
        </w:r>
        <w:r>
          <w:rPr>
            <w:noProof/>
            <w:webHidden/>
          </w:rPr>
          <w:instrText xml:space="preserve"> PAGEREF _Toc13755754 \h </w:instrText>
        </w:r>
        <w:r>
          <w:rPr>
            <w:noProof/>
            <w:webHidden/>
          </w:rPr>
        </w:r>
        <w:r>
          <w:rPr>
            <w:noProof/>
            <w:webHidden/>
          </w:rPr>
          <w:fldChar w:fldCharType="separate"/>
        </w:r>
        <w:r>
          <w:rPr>
            <w:noProof/>
            <w:webHidden/>
          </w:rPr>
          <w:t>35</w:t>
        </w:r>
        <w:r>
          <w:rPr>
            <w:noProof/>
            <w:webHidden/>
          </w:rPr>
          <w:fldChar w:fldCharType="end"/>
        </w:r>
      </w:hyperlink>
    </w:p>
    <w:p w14:paraId="0664D933" w14:textId="5480D414" w:rsidR="00E43D3D" w:rsidRDefault="00E43D3D">
      <w:pPr>
        <w:pStyle w:val="TOC3"/>
        <w:rPr>
          <w:rFonts w:asciiTheme="minorHAnsi" w:hAnsiTheme="minorHAnsi"/>
          <w:noProof/>
          <w:sz w:val="22"/>
          <w:lang w:val="en-GB" w:eastAsia="en-GB"/>
        </w:rPr>
      </w:pPr>
      <w:hyperlink w:anchor="_Toc13755755" w:history="1">
        <w:r w:rsidRPr="0037519C">
          <w:rPr>
            <w:rStyle w:val="Hyperlink"/>
            <w:rFonts w:ascii="Cambria" w:hAnsi="Cambria"/>
            <w:noProof/>
            <w:lang w:val="en-GB"/>
          </w:rPr>
          <w:t>5.</w:t>
        </w:r>
        <w:r>
          <w:rPr>
            <w:rFonts w:asciiTheme="minorHAnsi" w:hAnsiTheme="minorHAnsi"/>
            <w:noProof/>
            <w:sz w:val="22"/>
            <w:lang w:val="en-GB" w:eastAsia="en-GB"/>
          </w:rPr>
          <w:tab/>
        </w:r>
        <w:r w:rsidRPr="0037519C">
          <w:rPr>
            <w:rStyle w:val="Hyperlink"/>
            <w:rFonts w:ascii="Cambria" w:hAnsi="Cambria"/>
            <w:noProof/>
            <w:lang w:val="en-GB"/>
          </w:rPr>
          <w:t>T03.02 - Intragroup Guarantees - Received</w:t>
        </w:r>
        <w:r>
          <w:rPr>
            <w:noProof/>
            <w:webHidden/>
          </w:rPr>
          <w:tab/>
        </w:r>
        <w:r>
          <w:rPr>
            <w:noProof/>
            <w:webHidden/>
          </w:rPr>
          <w:fldChar w:fldCharType="begin"/>
        </w:r>
        <w:r>
          <w:rPr>
            <w:noProof/>
            <w:webHidden/>
          </w:rPr>
          <w:instrText xml:space="preserve"> PAGEREF _Toc13755755 \h </w:instrText>
        </w:r>
        <w:r>
          <w:rPr>
            <w:noProof/>
            <w:webHidden/>
          </w:rPr>
        </w:r>
        <w:r>
          <w:rPr>
            <w:noProof/>
            <w:webHidden/>
          </w:rPr>
          <w:fldChar w:fldCharType="separate"/>
        </w:r>
        <w:r>
          <w:rPr>
            <w:noProof/>
            <w:webHidden/>
          </w:rPr>
          <w:t>39</w:t>
        </w:r>
        <w:r>
          <w:rPr>
            <w:noProof/>
            <w:webHidden/>
          </w:rPr>
          <w:fldChar w:fldCharType="end"/>
        </w:r>
      </w:hyperlink>
    </w:p>
    <w:p w14:paraId="65ED359E" w14:textId="3ACF3A0E" w:rsidR="00E43D3D" w:rsidRDefault="00E43D3D">
      <w:pPr>
        <w:pStyle w:val="TOC3"/>
        <w:rPr>
          <w:rFonts w:asciiTheme="minorHAnsi" w:hAnsiTheme="minorHAnsi"/>
          <w:noProof/>
          <w:sz w:val="22"/>
          <w:lang w:val="en-GB" w:eastAsia="en-GB"/>
        </w:rPr>
      </w:pPr>
      <w:hyperlink w:anchor="_Toc13755756" w:history="1">
        <w:r w:rsidRPr="0037519C">
          <w:rPr>
            <w:rStyle w:val="Hyperlink"/>
            <w:rFonts w:ascii="Cambria" w:hAnsi="Cambria"/>
            <w:noProof/>
            <w:lang w:val="en-GB"/>
          </w:rPr>
          <w:t>6.</w:t>
        </w:r>
        <w:r>
          <w:rPr>
            <w:rFonts w:asciiTheme="minorHAnsi" w:hAnsiTheme="minorHAnsi"/>
            <w:noProof/>
            <w:sz w:val="22"/>
            <w:lang w:val="en-GB" w:eastAsia="en-GB"/>
          </w:rPr>
          <w:tab/>
        </w:r>
        <w:r w:rsidRPr="0037519C">
          <w:rPr>
            <w:rStyle w:val="Hyperlink"/>
            <w:rFonts w:ascii="Cambria" w:hAnsi="Cambria"/>
            <w:noProof/>
            <w:lang w:val="en-GB"/>
          </w:rPr>
          <w:t>T03.03 - Intragroup Guarantees - Provided</w:t>
        </w:r>
        <w:r>
          <w:rPr>
            <w:noProof/>
            <w:webHidden/>
          </w:rPr>
          <w:tab/>
        </w:r>
        <w:r>
          <w:rPr>
            <w:noProof/>
            <w:webHidden/>
          </w:rPr>
          <w:fldChar w:fldCharType="begin"/>
        </w:r>
        <w:r>
          <w:rPr>
            <w:noProof/>
            <w:webHidden/>
          </w:rPr>
          <w:instrText xml:space="preserve"> PAGEREF _Toc13755756 \h </w:instrText>
        </w:r>
        <w:r>
          <w:rPr>
            <w:noProof/>
            <w:webHidden/>
          </w:rPr>
        </w:r>
        <w:r>
          <w:rPr>
            <w:noProof/>
            <w:webHidden/>
          </w:rPr>
          <w:fldChar w:fldCharType="separate"/>
        </w:r>
        <w:r>
          <w:rPr>
            <w:noProof/>
            <w:webHidden/>
          </w:rPr>
          <w:t>41</w:t>
        </w:r>
        <w:r>
          <w:rPr>
            <w:noProof/>
            <w:webHidden/>
          </w:rPr>
          <w:fldChar w:fldCharType="end"/>
        </w:r>
      </w:hyperlink>
    </w:p>
    <w:p w14:paraId="582EE229" w14:textId="42042D12" w:rsidR="00E43D3D" w:rsidRDefault="00E43D3D">
      <w:pPr>
        <w:pStyle w:val="TOC3"/>
        <w:rPr>
          <w:rFonts w:asciiTheme="minorHAnsi" w:hAnsiTheme="minorHAnsi"/>
          <w:noProof/>
          <w:sz w:val="22"/>
          <w:lang w:val="en-GB" w:eastAsia="en-GB"/>
        </w:rPr>
      </w:pPr>
      <w:hyperlink w:anchor="_Toc13755757" w:history="1">
        <w:r w:rsidRPr="0037519C">
          <w:rPr>
            <w:rStyle w:val="Hyperlink"/>
            <w:rFonts w:ascii="Cambria" w:hAnsi="Cambria"/>
            <w:noProof/>
            <w:lang w:val="en-GB"/>
          </w:rPr>
          <w:t>7.</w:t>
        </w:r>
        <w:r>
          <w:rPr>
            <w:rFonts w:asciiTheme="minorHAnsi" w:hAnsiTheme="minorHAnsi"/>
            <w:noProof/>
            <w:sz w:val="22"/>
            <w:lang w:val="en-GB" w:eastAsia="en-GB"/>
          </w:rPr>
          <w:tab/>
        </w:r>
        <w:r w:rsidRPr="0037519C">
          <w:rPr>
            <w:rStyle w:val="Hyperlink"/>
            <w:rFonts w:ascii="Cambria" w:hAnsi="Cambria"/>
            <w:noProof/>
            <w:lang w:val="en-GB"/>
          </w:rPr>
          <w:t>T04.00 - Securities</w:t>
        </w:r>
        <w:r>
          <w:rPr>
            <w:noProof/>
            <w:webHidden/>
          </w:rPr>
          <w:tab/>
        </w:r>
        <w:r>
          <w:rPr>
            <w:noProof/>
            <w:webHidden/>
          </w:rPr>
          <w:fldChar w:fldCharType="begin"/>
        </w:r>
        <w:r>
          <w:rPr>
            <w:noProof/>
            <w:webHidden/>
          </w:rPr>
          <w:instrText xml:space="preserve"> PAGEREF _Toc13755757 \h </w:instrText>
        </w:r>
        <w:r>
          <w:rPr>
            <w:noProof/>
            <w:webHidden/>
          </w:rPr>
        </w:r>
        <w:r>
          <w:rPr>
            <w:noProof/>
            <w:webHidden/>
          </w:rPr>
          <w:fldChar w:fldCharType="separate"/>
        </w:r>
        <w:r>
          <w:rPr>
            <w:noProof/>
            <w:webHidden/>
          </w:rPr>
          <w:t>43</w:t>
        </w:r>
        <w:r>
          <w:rPr>
            <w:noProof/>
            <w:webHidden/>
          </w:rPr>
          <w:fldChar w:fldCharType="end"/>
        </w:r>
      </w:hyperlink>
    </w:p>
    <w:p w14:paraId="19A73117" w14:textId="59BFE1F0" w:rsidR="00E43D3D" w:rsidRDefault="00E43D3D">
      <w:pPr>
        <w:pStyle w:val="TOC3"/>
        <w:rPr>
          <w:rFonts w:asciiTheme="minorHAnsi" w:hAnsiTheme="minorHAnsi"/>
          <w:noProof/>
          <w:sz w:val="22"/>
          <w:lang w:val="en-GB" w:eastAsia="en-GB"/>
        </w:rPr>
      </w:pPr>
      <w:hyperlink w:anchor="_Toc13755758" w:history="1">
        <w:r w:rsidRPr="0037519C">
          <w:rPr>
            <w:rStyle w:val="Hyperlink"/>
            <w:rFonts w:ascii="Cambria" w:hAnsi="Cambria"/>
            <w:noProof/>
            <w:lang w:val="en-GB"/>
          </w:rPr>
          <w:t>8.</w:t>
        </w:r>
        <w:r>
          <w:rPr>
            <w:rFonts w:asciiTheme="minorHAnsi" w:hAnsiTheme="minorHAnsi"/>
            <w:noProof/>
            <w:sz w:val="22"/>
            <w:lang w:val="en-GB" w:eastAsia="en-GB"/>
          </w:rPr>
          <w:tab/>
        </w:r>
        <w:r w:rsidRPr="0037519C">
          <w:rPr>
            <w:rStyle w:val="Hyperlink"/>
            <w:rFonts w:ascii="Cambria" w:hAnsi="Cambria"/>
            <w:noProof/>
            <w:lang w:val="en-GB"/>
          </w:rPr>
          <w:t>T05.01 – All Deposits (excluding intragroup)</w:t>
        </w:r>
        <w:r>
          <w:rPr>
            <w:noProof/>
            <w:webHidden/>
          </w:rPr>
          <w:tab/>
        </w:r>
        <w:r>
          <w:rPr>
            <w:noProof/>
            <w:webHidden/>
          </w:rPr>
          <w:fldChar w:fldCharType="begin"/>
        </w:r>
        <w:r>
          <w:rPr>
            <w:noProof/>
            <w:webHidden/>
          </w:rPr>
          <w:instrText xml:space="preserve"> PAGEREF _Toc13755758 \h </w:instrText>
        </w:r>
        <w:r>
          <w:rPr>
            <w:noProof/>
            <w:webHidden/>
          </w:rPr>
        </w:r>
        <w:r>
          <w:rPr>
            <w:noProof/>
            <w:webHidden/>
          </w:rPr>
          <w:fldChar w:fldCharType="separate"/>
        </w:r>
        <w:r>
          <w:rPr>
            <w:noProof/>
            <w:webHidden/>
          </w:rPr>
          <w:t>50</w:t>
        </w:r>
        <w:r>
          <w:rPr>
            <w:noProof/>
            <w:webHidden/>
          </w:rPr>
          <w:fldChar w:fldCharType="end"/>
        </w:r>
      </w:hyperlink>
    </w:p>
    <w:p w14:paraId="3E12EBF0" w14:textId="37DC1467" w:rsidR="00E43D3D" w:rsidRDefault="00E43D3D">
      <w:pPr>
        <w:pStyle w:val="TOC3"/>
        <w:rPr>
          <w:rFonts w:asciiTheme="minorHAnsi" w:hAnsiTheme="minorHAnsi"/>
          <w:noProof/>
          <w:sz w:val="22"/>
          <w:lang w:val="en-GB" w:eastAsia="en-GB"/>
        </w:rPr>
      </w:pPr>
      <w:hyperlink w:anchor="_Toc13755759" w:history="1">
        <w:r w:rsidRPr="0037519C">
          <w:rPr>
            <w:rStyle w:val="Hyperlink"/>
            <w:rFonts w:ascii="Cambria" w:hAnsi="Cambria"/>
            <w:noProof/>
            <w:lang w:val="en-GB"/>
          </w:rPr>
          <w:t>9.</w:t>
        </w:r>
        <w:r>
          <w:rPr>
            <w:rFonts w:asciiTheme="minorHAnsi" w:hAnsiTheme="minorHAnsi"/>
            <w:noProof/>
            <w:sz w:val="22"/>
            <w:lang w:val="en-GB" w:eastAsia="en-GB"/>
          </w:rPr>
          <w:tab/>
        </w:r>
        <w:r w:rsidRPr="0037519C">
          <w:rPr>
            <w:rStyle w:val="Hyperlink"/>
            <w:rFonts w:ascii="Cambria" w:hAnsi="Cambria"/>
            <w:noProof/>
            <w:lang w:val="en-GB"/>
          </w:rPr>
          <w:t>T06.01 - Other Financial Liabilities (not included in other tabs, excluding intragroup)</w:t>
        </w:r>
        <w:r>
          <w:rPr>
            <w:noProof/>
            <w:webHidden/>
          </w:rPr>
          <w:tab/>
        </w:r>
        <w:r>
          <w:rPr>
            <w:noProof/>
            <w:webHidden/>
          </w:rPr>
          <w:fldChar w:fldCharType="begin"/>
        </w:r>
        <w:r>
          <w:rPr>
            <w:noProof/>
            <w:webHidden/>
          </w:rPr>
          <w:instrText xml:space="preserve"> PAGEREF _Toc13755759 \h </w:instrText>
        </w:r>
        <w:r>
          <w:rPr>
            <w:noProof/>
            <w:webHidden/>
          </w:rPr>
        </w:r>
        <w:r>
          <w:rPr>
            <w:noProof/>
            <w:webHidden/>
          </w:rPr>
          <w:fldChar w:fldCharType="separate"/>
        </w:r>
        <w:r>
          <w:rPr>
            <w:noProof/>
            <w:webHidden/>
          </w:rPr>
          <w:t>54</w:t>
        </w:r>
        <w:r>
          <w:rPr>
            <w:noProof/>
            <w:webHidden/>
          </w:rPr>
          <w:fldChar w:fldCharType="end"/>
        </w:r>
      </w:hyperlink>
    </w:p>
    <w:p w14:paraId="76F232F2" w14:textId="1DE1F545" w:rsidR="00E43D3D" w:rsidRDefault="00E43D3D">
      <w:pPr>
        <w:pStyle w:val="TOC3"/>
        <w:rPr>
          <w:rFonts w:asciiTheme="minorHAnsi" w:hAnsiTheme="minorHAnsi"/>
          <w:noProof/>
          <w:sz w:val="22"/>
          <w:lang w:val="en-GB" w:eastAsia="en-GB"/>
        </w:rPr>
      </w:pPr>
      <w:hyperlink w:anchor="_Toc13755760" w:history="1">
        <w:r w:rsidRPr="0037519C">
          <w:rPr>
            <w:rStyle w:val="Hyperlink"/>
            <w:rFonts w:ascii="Cambria" w:hAnsi="Cambria"/>
            <w:noProof/>
            <w:lang w:val="en-GB"/>
          </w:rPr>
          <w:t>10.</w:t>
        </w:r>
        <w:r>
          <w:rPr>
            <w:rFonts w:asciiTheme="minorHAnsi" w:hAnsiTheme="minorHAnsi"/>
            <w:noProof/>
            <w:sz w:val="22"/>
            <w:lang w:val="en-GB" w:eastAsia="en-GB"/>
          </w:rPr>
          <w:tab/>
        </w:r>
        <w:r w:rsidRPr="0037519C">
          <w:rPr>
            <w:rStyle w:val="Hyperlink"/>
            <w:rFonts w:ascii="Cambria" w:hAnsi="Cambria"/>
            <w:noProof/>
            <w:lang w:val="en-GB"/>
          </w:rPr>
          <w:t>T07.00 - Derivatives</w:t>
        </w:r>
        <w:r>
          <w:rPr>
            <w:noProof/>
            <w:webHidden/>
          </w:rPr>
          <w:tab/>
        </w:r>
        <w:r>
          <w:rPr>
            <w:noProof/>
            <w:webHidden/>
          </w:rPr>
          <w:fldChar w:fldCharType="begin"/>
        </w:r>
        <w:r>
          <w:rPr>
            <w:noProof/>
            <w:webHidden/>
          </w:rPr>
          <w:instrText xml:space="preserve"> PAGEREF _Toc13755760 \h </w:instrText>
        </w:r>
        <w:r>
          <w:rPr>
            <w:noProof/>
            <w:webHidden/>
          </w:rPr>
        </w:r>
        <w:r>
          <w:rPr>
            <w:noProof/>
            <w:webHidden/>
          </w:rPr>
          <w:fldChar w:fldCharType="separate"/>
        </w:r>
        <w:r>
          <w:rPr>
            <w:noProof/>
            <w:webHidden/>
          </w:rPr>
          <w:t>58</w:t>
        </w:r>
        <w:r>
          <w:rPr>
            <w:noProof/>
            <w:webHidden/>
          </w:rPr>
          <w:fldChar w:fldCharType="end"/>
        </w:r>
      </w:hyperlink>
    </w:p>
    <w:p w14:paraId="4499692C" w14:textId="35376CF0" w:rsidR="00E43D3D" w:rsidRDefault="00E43D3D">
      <w:pPr>
        <w:pStyle w:val="TOC3"/>
        <w:rPr>
          <w:rFonts w:asciiTheme="minorHAnsi" w:hAnsiTheme="minorHAnsi"/>
          <w:noProof/>
          <w:sz w:val="22"/>
          <w:lang w:val="en-GB" w:eastAsia="en-GB"/>
        </w:rPr>
      </w:pPr>
      <w:hyperlink w:anchor="_Toc13755761" w:history="1">
        <w:r w:rsidRPr="0037519C">
          <w:rPr>
            <w:rStyle w:val="Hyperlink"/>
            <w:rFonts w:ascii="Cambria" w:hAnsi="Cambria"/>
            <w:noProof/>
            <w:lang w:val="en-GB"/>
          </w:rPr>
          <w:t>11.</w:t>
        </w:r>
        <w:r>
          <w:rPr>
            <w:rFonts w:asciiTheme="minorHAnsi" w:hAnsiTheme="minorHAnsi"/>
            <w:noProof/>
            <w:sz w:val="22"/>
            <w:lang w:val="en-GB" w:eastAsia="en-GB"/>
          </w:rPr>
          <w:tab/>
        </w:r>
        <w:r w:rsidRPr="0037519C">
          <w:rPr>
            <w:rStyle w:val="Hyperlink"/>
            <w:rFonts w:ascii="Cambria" w:hAnsi="Cambria"/>
            <w:noProof/>
            <w:lang w:val="en-GB"/>
          </w:rPr>
          <w:t>T08.00 - Secured Finance</w:t>
        </w:r>
        <w:r>
          <w:rPr>
            <w:noProof/>
            <w:webHidden/>
          </w:rPr>
          <w:tab/>
        </w:r>
        <w:r>
          <w:rPr>
            <w:noProof/>
            <w:webHidden/>
          </w:rPr>
          <w:fldChar w:fldCharType="begin"/>
        </w:r>
        <w:r>
          <w:rPr>
            <w:noProof/>
            <w:webHidden/>
          </w:rPr>
          <w:instrText xml:space="preserve"> PAGEREF _Toc13755761 \h </w:instrText>
        </w:r>
        <w:r>
          <w:rPr>
            <w:noProof/>
            <w:webHidden/>
          </w:rPr>
        </w:r>
        <w:r>
          <w:rPr>
            <w:noProof/>
            <w:webHidden/>
          </w:rPr>
          <w:fldChar w:fldCharType="separate"/>
        </w:r>
        <w:r>
          <w:rPr>
            <w:noProof/>
            <w:webHidden/>
          </w:rPr>
          <w:t>61</w:t>
        </w:r>
        <w:r>
          <w:rPr>
            <w:noProof/>
            <w:webHidden/>
          </w:rPr>
          <w:fldChar w:fldCharType="end"/>
        </w:r>
      </w:hyperlink>
    </w:p>
    <w:p w14:paraId="4C648F2E" w14:textId="26F70A74" w:rsidR="00E43D3D" w:rsidRDefault="00E43D3D">
      <w:pPr>
        <w:pStyle w:val="TOC3"/>
        <w:rPr>
          <w:rFonts w:asciiTheme="minorHAnsi" w:hAnsiTheme="minorHAnsi"/>
          <w:noProof/>
          <w:sz w:val="22"/>
          <w:lang w:val="en-GB" w:eastAsia="en-GB"/>
        </w:rPr>
      </w:pPr>
      <w:hyperlink w:anchor="_Toc13755762" w:history="1">
        <w:r w:rsidRPr="0037519C">
          <w:rPr>
            <w:rStyle w:val="Hyperlink"/>
            <w:rFonts w:ascii="Cambria" w:hAnsi="Cambria"/>
            <w:noProof/>
            <w:lang w:val="en-GB"/>
          </w:rPr>
          <w:t>12.</w:t>
        </w:r>
        <w:r>
          <w:rPr>
            <w:rFonts w:asciiTheme="minorHAnsi" w:hAnsiTheme="minorHAnsi"/>
            <w:noProof/>
            <w:sz w:val="22"/>
            <w:lang w:val="en-GB" w:eastAsia="en-GB"/>
          </w:rPr>
          <w:tab/>
        </w:r>
        <w:r w:rsidRPr="0037519C">
          <w:rPr>
            <w:rStyle w:val="Hyperlink"/>
            <w:rFonts w:ascii="Cambria" w:hAnsi="Cambria"/>
            <w:noProof/>
            <w:lang w:val="en-GB"/>
          </w:rPr>
          <w:t>T09.00 - Other Non-Financial Liabilities (not included in other tabs, excluding intragroup)</w:t>
        </w:r>
        <w:r>
          <w:rPr>
            <w:noProof/>
            <w:webHidden/>
          </w:rPr>
          <w:tab/>
        </w:r>
        <w:r>
          <w:rPr>
            <w:noProof/>
            <w:webHidden/>
          </w:rPr>
          <w:fldChar w:fldCharType="begin"/>
        </w:r>
        <w:r>
          <w:rPr>
            <w:noProof/>
            <w:webHidden/>
          </w:rPr>
          <w:instrText xml:space="preserve"> PAGEREF _Toc13755762 \h </w:instrText>
        </w:r>
        <w:r>
          <w:rPr>
            <w:noProof/>
            <w:webHidden/>
          </w:rPr>
        </w:r>
        <w:r>
          <w:rPr>
            <w:noProof/>
            <w:webHidden/>
          </w:rPr>
          <w:fldChar w:fldCharType="separate"/>
        </w:r>
        <w:r>
          <w:rPr>
            <w:noProof/>
            <w:webHidden/>
          </w:rPr>
          <w:t>63</w:t>
        </w:r>
        <w:r>
          <w:rPr>
            <w:noProof/>
            <w:webHidden/>
          </w:rPr>
          <w:fldChar w:fldCharType="end"/>
        </w:r>
      </w:hyperlink>
    </w:p>
    <w:p w14:paraId="48D5BB84" w14:textId="7F1AFBEB" w:rsidR="00E43D3D" w:rsidRDefault="00E43D3D">
      <w:pPr>
        <w:pStyle w:val="TOC3"/>
        <w:rPr>
          <w:rFonts w:asciiTheme="minorHAnsi" w:hAnsiTheme="minorHAnsi"/>
          <w:noProof/>
          <w:sz w:val="22"/>
          <w:lang w:val="en-GB" w:eastAsia="en-GB"/>
        </w:rPr>
      </w:pPr>
      <w:hyperlink w:anchor="_Toc13755763" w:history="1">
        <w:r w:rsidRPr="0037519C">
          <w:rPr>
            <w:rStyle w:val="Hyperlink"/>
            <w:rFonts w:ascii="Cambria" w:hAnsi="Cambria"/>
            <w:noProof/>
            <w:lang w:val="en-GB"/>
          </w:rPr>
          <w:t>13.</w:t>
        </w:r>
        <w:r>
          <w:rPr>
            <w:rFonts w:asciiTheme="minorHAnsi" w:hAnsiTheme="minorHAnsi"/>
            <w:noProof/>
            <w:sz w:val="22"/>
            <w:lang w:val="en-GB" w:eastAsia="en-GB"/>
          </w:rPr>
          <w:tab/>
        </w:r>
        <w:r w:rsidRPr="0037519C">
          <w:rPr>
            <w:rStyle w:val="Hyperlink"/>
            <w:rFonts w:ascii="Cambria" w:hAnsi="Cambria"/>
            <w:noProof/>
            <w:lang w:val="en-GB"/>
          </w:rPr>
          <w:t>T12.00 – Major Off Balance Sheet Counterparties</w:t>
        </w:r>
        <w:r>
          <w:rPr>
            <w:noProof/>
            <w:webHidden/>
          </w:rPr>
          <w:tab/>
        </w:r>
        <w:r>
          <w:rPr>
            <w:noProof/>
            <w:webHidden/>
          </w:rPr>
          <w:fldChar w:fldCharType="begin"/>
        </w:r>
        <w:r>
          <w:rPr>
            <w:noProof/>
            <w:webHidden/>
          </w:rPr>
          <w:instrText xml:space="preserve"> PAGEREF _Toc13755763 \h </w:instrText>
        </w:r>
        <w:r>
          <w:rPr>
            <w:noProof/>
            <w:webHidden/>
          </w:rPr>
        </w:r>
        <w:r>
          <w:rPr>
            <w:noProof/>
            <w:webHidden/>
          </w:rPr>
          <w:fldChar w:fldCharType="separate"/>
        </w:r>
        <w:r>
          <w:rPr>
            <w:noProof/>
            <w:webHidden/>
          </w:rPr>
          <w:t>66</w:t>
        </w:r>
        <w:r>
          <w:rPr>
            <w:noProof/>
            <w:webHidden/>
          </w:rPr>
          <w:fldChar w:fldCharType="end"/>
        </w:r>
      </w:hyperlink>
    </w:p>
    <w:p w14:paraId="4A878EB2" w14:textId="4308E82E" w:rsidR="00E43D3D" w:rsidRDefault="00E43D3D">
      <w:pPr>
        <w:pStyle w:val="TOC1"/>
        <w:rPr>
          <w:rFonts w:asciiTheme="minorHAnsi" w:hAnsiTheme="minorHAnsi"/>
          <w:noProof/>
          <w:sz w:val="22"/>
          <w:lang w:val="en-GB" w:eastAsia="en-GB"/>
        </w:rPr>
      </w:pPr>
      <w:hyperlink w:anchor="_Toc13755764" w:history="1">
        <w:r w:rsidRPr="0037519C">
          <w:rPr>
            <w:rStyle w:val="Hyperlink"/>
            <w:rFonts w:ascii="Cambria" w:hAnsi="Cambria"/>
            <w:noProof/>
            <w:lang w:val="en-GB"/>
          </w:rPr>
          <w:t>Annex 1 - List of abbreviations</w:t>
        </w:r>
        <w:r>
          <w:rPr>
            <w:noProof/>
            <w:webHidden/>
          </w:rPr>
          <w:tab/>
        </w:r>
        <w:r>
          <w:rPr>
            <w:noProof/>
            <w:webHidden/>
          </w:rPr>
          <w:fldChar w:fldCharType="begin"/>
        </w:r>
        <w:r>
          <w:rPr>
            <w:noProof/>
            <w:webHidden/>
          </w:rPr>
          <w:instrText xml:space="preserve"> PAGEREF _Toc13755764 \h </w:instrText>
        </w:r>
        <w:r>
          <w:rPr>
            <w:noProof/>
            <w:webHidden/>
          </w:rPr>
        </w:r>
        <w:r>
          <w:rPr>
            <w:noProof/>
            <w:webHidden/>
          </w:rPr>
          <w:fldChar w:fldCharType="separate"/>
        </w:r>
        <w:r>
          <w:rPr>
            <w:noProof/>
            <w:webHidden/>
          </w:rPr>
          <w:t>67</w:t>
        </w:r>
        <w:r>
          <w:rPr>
            <w:noProof/>
            <w:webHidden/>
          </w:rPr>
          <w:fldChar w:fldCharType="end"/>
        </w:r>
      </w:hyperlink>
    </w:p>
    <w:p w14:paraId="4D7A110A" w14:textId="4A8B9F63" w:rsidR="00E43D3D" w:rsidRDefault="00E43D3D">
      <w:pPr>
        <w:pStyle w:val="TOC1"/>
        <w:rPr>
          <w:rFonts w:asciiTheme="minorHAnsi" w:hAnsiTheme="minorHAnsi"/>
          <w:noProof/>
          <w:sz w:val="22"/>
          <w:lang w:val="en-GB" w:eastAsia="en-GB"/>
        </w:rPr>
      </w:pPr>
      <w:hyperlink w:anchor="_Toc13755765" w:history="1">
        <w:r w:rsidRPr="0037519C">
          <w:rPr>
            <w:rStyle w:val="Hyperlink"/>
            <w:rFonts w:ascii="Cambria" w:hAnsi="Cambria"/>
            <w:noProof/>
            <w:lang w:val="en-GB"/>
          </w:rPr>
          <w:t>Annex 2 - Scope and modulated reporting example</w:t>
        </w:r>
        <w:r>
          <w:rPr>
            <w:noProof/>
            <w:webHidden/>
          </w:rPr>
          <w:tab/>
        </w:r>
        <w:r>
          <w:rPr>
            <w:noProof/>
            <w:webHidden/>
          </w:rPr>
          <w:fldChar w:fldCharType="begin"/>
        </w:r>
        <w:r>
          <w:rPr>
            <w:noProof/>
            <w:webHidden/>
          </w:rPr>
          <w:instrText xml:space="preserve"> PAGEREF _Toc13755765 \h </w:instrText>
        </w:r>
        <w:r>
          <w:rPr>
            <w:noProof/>
            <w:webHidden/>
          </w:rPr>
        </w:r>
        <w:r>
          <w:rPr>
            <w:noProof/>
            <w:webHidden/>
          </w:rPr>
          <w:fldChar w:fldCharType="separate"/>
        </w:r>
        <w:r>
          <w:rPr>
            <w:noProof/>
            <w:webHidden/>
          </w:rPr>
          <w:t>69</w:t>
        </w:r>
        <w:r>
          <w:rPr>
            <w:noProof/>
            <w:webHidden/>
          </w:rPr>
          <w:fldChar w:fldCharType="end"/>
        </w:r>
      </w:hyperlink>
    </w:p>
    <w:p w14:paraId="5EEC8652" w14:textId="5F2791E2" w:rsidR="00E43D3D" w:rsidRDefault="00E43D3D">
      <w:pPr>
        <w:pStyle w:val="TOC1"/>
        <w:rPr>
          <w:rFonts w:asciiTheme="minorHAnsi" w:hAnsiTheme="minorHAnsi"/>
          <w:noProof/>
          <w:sz w:val="22"/>
          <w:lang w:val="en-GB" w:eastAsia="en-GB"/>
        </w:rPr>
      </w:pPr>
      <w:hyperlink w:anchor="_Toc13755766" w:history="1">
        <w:r w:rsidRPr="0037519C">
          <w:rPr>
            <w:rStyle w:val="Hyperlink"/>
            <w:rFonts w:ascii="Cambria" w:hAnsi="Cambria"/>
            <w:noProof/>
            <w:lang w:val="en-GB"/>
          </w:rPr>
          <w:t>Annex 3 - Data Validations</w:t>
        </w:r>
        <w:r>
          <w:rPr>
            <w:noProof/>
            <w:webHidden/>
          </w:rPr>
          <w:tab/>
        </w:r>
        <w:r>
          <w:rPr>
            <w:noProof/>
            <w:webHidden/>
          </w:rPr>
          <w:fldChar w:fldCharType="begin"/>
        </w:r>
        <w:r>
          <w:rPr>
            <w:noProof/>
            <w:webHidden/>
          </w:rPr>
          <w:instrText xml:space="preserve"> PAGEREF _Toc13755766 \h </w:instrText>
        </w:r>
        <w:r>
          <w:rPr>
            <w:noProof/>
            <w:webHidden/>
          </w:rPr>
        </w:r>
        <w:r>
          <w:rPr>
            <w:noProof/>
            <w:webHidden/>
          </w:rPr>
          <w:fldChar w:fldCharType="separate"/>
        </w:r>
        <w:r>
          <w:rPr>
            <w:noProof/>
            <w:webHidden/>
          </w:rPr>
          <w:t>71</w:t>
        </w:r>
        <w:r>
          <w:rPr>
            <w:noProof/>
            <w:webHidden/>
          </w:rPr>
          <w:fldChar w:fldCharType="end"/>
        </w:r>
      </w:hyperlink>
    </w:p>
    <w:p w14:paraId="32E9E1E3" w14:textId="11FFF83B" w:rsidR="00E43D3D" w:rsidRDefault="00E43D3D">
      <w:pPr>
        <w:pStyle w:val="TOC3"/>
        <w:rPr>
          <w:rFonts w:asciiTheme="minorHAnsi" w:hAnsiTheme="minorHAnsi"/>
          <w:noProof/>
          <w:sz w:val="22"/>
          <w:lang w:val="en-GB" w:eastAsia="en-GB"/>
        </w:rPr>
      </w:pPr>
      <w:hyperlink w:anchor="_Toc13755767" w:history="1">
        <w:r w:rsidRPr="0037519C">
          <w:rPr>
            <w:rStyle w:val="Hyperlink"/>
            <w:rFonts w:ascii="Cambria" w:hAnsi="Cambria"/>
            <w:noProof/>
            <w:lang w:val="en-GB"/>
          </w:rPr>
          <w:t>1.</w:t>
        </w:r>
        <w:r>
          <w:rPr>
            <w:rFonts w:asciiTheme="minorHAnsi" w:hAnsiTheme="minorHAnsi"/>
            <w:noProof/>
            <w:sz w:val="22"/>
            <w:lang w:val="en-GB" w:eastAsia="en-GB"/>
          </w:rPr>
          <w:tab/>
        </w:r>
        <w:r w:rsidRPr="0037519C">
          <w:rPr>
            <w:rStyle w:val="Hyperlink"/>
            <w:rFonts w:ascii="Cambria" w:hAnsi="Cambria"/>
            <w:noProof/>
            <w:lang w:val="en-GB"/>
          </w:rPr>
          <w:t>Level 1 checks</w:t>
        </w:r>
        <w:r>
          <w:rPr>
            <w:noProof/>
            <w:webHidden/>
          </w:rPr>
          <w:tab/>
        </w:r>
        <w:r>
          <w:rPr>
            <w:noProof/>
            <w:webHidden/>
          </w:rPr>
          <w:fldChar w:fldCharType="begin"/>
        </w:r>
        <w:r>
          <w:rPr>
            <w:noProof/>
            <w:webHidden/>
          </w:rPr>
          <w:instrText xml:space="preserve"> PAGEREF _Toc13755767 \h </w:instrText>
        </w:r>
        <w:r>
          <w:rPr>
            <w:noProof/>
            <w:webHidden/>
          </w:rPr>
        </w:r>
        <w:r>
          <w:rPr>
            <w:noProof/>
            <w:webHidden/>
          </w:rPr>
          <w:fldChar w:fldCharType="separate"/>
        </w:r>
        <w:r>
          <w:rPr>
            <w:noProof/>
            <w:webHidden/>
          </w:rPr>
          <w:t>71</w:t>
        </w:r>
        <w:r>
          <w:rPr>
            <w:noProof/>
            <w:webHidden/>
          </w:rPr>
          <w:fldChar w:fldCharType="end"/>
        </w:r>
      </w:hyperlink>
    </w:p>
    <w:p w14:paraId="518BA318" w14:textId="15351B5F" w:rsidR="00E43D3D" w:rsidRDefault="00E43D3D">
      <w:pPr>
        <w:pStyle w:val="TOC3"/>
        <w:rPr>
          <w:rFonts w:asciiTheme="minorHAnsi" w:hAnsiTheme="minorHAnsi"/>
          <w:noProof/>
          <w:sz w:val="22"/>
          <w:lang w:val="en-GB" w:eastAsia="en-GB"/>
        </w:rPr>
      </w:pPr>
      <w:hyperlink w:anchor="_Toc13755768" w:history="1">
        <w:r w:rsidRPr="0037519C">
          <w:rPr>
            <w:rStyle w:val="Hyperlink"/>
            <w:rFonts w:ascii="Cambria" w:hAnsi="Cambria"/>
            <w:noProof/>
            <w:lang w:val="en-GB"/>
          </w:rPr>
          <w:t>2.</w:t>
        </w:r>
        <w:r>
          <w:rPr>
            <w:rFonts w:asciiTheme="minorHAnsi" w:hAnsiTheme="minorHAnsi"/>
            <w:noProof/>
            <w:sz w:val="22"/>
            <w:lang w:val="en-GB" w:eastAsia="en-GB"/>
          </w:rPr>
          <w:tab/>
        </w:r>
        <w:r w:rsidRPr="0037519C">
          <w:rPr>
            <w:rStyle w:val="Hyperlink"/>
            <w:rFonts w:ascii="Cambria" w:hAnsi="Cambria"/>
            <w:noProof/>
            <w:lang w:val="en-GB"/>
          </w:rPr>
          <w:t>Level 2 checks</w:t>
        </w:r>
        <w:r>
          <w:rPr>
            <w:noProof/>
            <w:webHidden/>
          </w:rPr>
          <w:tab/>
        </w:r>
        <w:r>
          <w:rPr>
            <w:noProof/>
            <w:webHidden/>
          </w:rPr>
          <w:fldChar w:fldCharType="begin"/>
        </w:r>
        <w:r>
          <w:rPr>
            <w:noProof/>
            <w:webHidden/>
          </w:rPr>
          <w:instrText xml:space="preserve"> PAGEREF _Toc13755768 \h </w:instrText>
        </w:r>
        <w:r>
          <w:rPr>
            <w:noProof/>
            <w:webHidden/>
          </w:rPr>
        </w:r>
        <w:r>
          <w:rPr>
            <w:noProof/>
            <w:webHidden/>
          </w:rPr>
          <w:fldChar w:fldCharType="separate"/>
        </w:r>
        <w:r>
          <w:rPr>
            <w:noProof/>
            <w:webHidden/>
          </w:rPr>
          <w:t>71</w:t>
        </w:r>
        <w:r>
          <w:rPr>
            <w:noProof/>
            <w:webHidden/>
          </w:rPr>
          <w:fldChar w:fldCharType="end"/>
        </w:r>
      </w:hyperlink>
    </w:p>
    <w:p w14:paraId="74FCC38E" w14:textId="4AE37CEC" w:rsidR="00E43D3D" w:rsidRDefault="00E43D3D">
      <w:pPr>
        <w:pStyle w:val="TOC3"/>
        <w:rPr>
          <w:rFonts w:asciiTheme="minorHAnsi" w:hAnsiTheme="minorHAnsi"/>
          <w:noProof/>
          <w:sz w:val="22"/>
          <w:lang w:val="en-GB" w:eastAsia="en-GB"/>
        </w:rPr>
      </w:pPr>
      <w:hyperlink w:anchor="_Toc13755769" w:history="1">
        <w:r w:rsidRPr="0037519C">
          <w:rPr>
            <w:rStyle w:val="Hyperlink"/>
            <w:rFonts w:ascii="Cambria" w:hAnsi="Cambria"/>
            <w:noProof/>
            <w:lang w:val="en-GB"/>
          </w:rPr>
          <w:t>3.</w:t>
        </w:r>
        <w:r>
          <w:rPr>
            <w:rFonts w:asciiTheme="minorHAnsi" w:hAnsiTheme="minorHAnsi"/>
            <w:noProof/>
            <w:sz w:val="22"/>
            <w:lang w:val="en-GB" w:eastAsia="en-GB"/>
          </w:rPr>
          <w:tab/>
        </w:r>
        <w:r w:rsidRPr="0037519C">
          <w:rPr>
            <w:rStyle w:val="Hyperlink"/>
            <w:rFonts w:ascii="Cambria" w:hAnsi="Cambria"/>
            <w:noProof/>
            <w:lang w:val="en-GB"/>
          </w:rPr>
          <w:t>Level 3 checks</w:t>
        </w:r>
        <w:r>
          <w:rPr>
            <w:noProof/>
            <w:webHidden/>
          </w:rPr>
          <w:tab/>
        </w:r>
        <w:r>
          <w:rPr>
            <w:noProof/>
            <w:webHidden/>
          </w:rPr>
          <w:fldChar w:fldCharType="begin"/>
        </w:r>
        <w:r>
          <w:rPr>
            <w:noProof/>
            <w:webHidden/>
          </w:rPr>
          <w:instrText xml:space="preserve"> PAGEREF _Toc13755769 \h </w:instrText>
        </w:r>
        <w:r>
          <w:rPr>
            <w:noProof/>
            <w:webHidden/>
          </w:rPr>
        </w:r>
        <w:r>
          <w:rPr>
            <w:noProof/>
            <w:webHidden/>
          </w:rPr>
          <w:fldChar w:fldCharType="separate"/>
        </w:r>
        <w:r>
          <w:rPr>
            <w:noProof/>
            <w:webHidden/>
          </w:rPr>
          <w:t>71</w:t>
        </w:r>
        <w:r>
          <w:rPr>
            <w:noProof/>
            <w:webHidden/>
          </w:rPr>
          <w:fldChar w:fldCharType="end"/>
        </w:r>
      </w:hyperlink>
    </w:p>
    <w:p w14:paraId="1FE717BF" w14:textId="69793583" w:rsidR="00E43D3D" w:rsidRDefault="00E43D3D">
      <w:pPr>
        <w:pStyle w:val="TOC1"/>
        <w:rPr>
          <w:rFonts w:asciiTheme="minorHAnsi" w:hAnsiTheme="minorHAnsi"/>
          <w:noProof/>
          <w:sz w:val="22"/>
          <w:lang w:val="en-GB" w:eastAsia="en-GB"/>
        </w:rPr>
      </w:pPr>
      <w:hyperlink w:anchor="_Toc13755770" w:history="1">
        <w:r w:rsidRPr="0037519C">
          <w:rPr>
            <w:rStyle w:val="Hyperlink"/>
            <w:rFonts w:ascii="Cambria" w:hAnsi="Cambria"/>
            <w:noProof/>
            <w:lang w:val="en-GB"/>
          </w:rPr>
          <w:t>Annex 4 - Insolvency ranking</w:t>
        </w:r>
        <w:r>
          <w:rPr>
            <w:noProof/>
            <w:webHidden/>
          </w:rPr>
          <w:tab/>
        </w:r>
        <w:r>
          <w:rPr>
            <w:noProof/>
            <w:webHidden/>
          </w:rPr>
          <w:fldChar w:fldCharType="begin"/>
        </w:r>
        <w:r>
          <w:rPr>
            <w:noProof/>
            <w:webHidden/>
          </w:rPr>
          <w:instrText xml:space="preserve"> PAGEREF _Toc13755770 \h </w:instrText>
        </w:r>
        <w:r>
          <w:rPr>
            <w:noProof/>
            <w:webHidden/>
          </w:rPr>
        </w:r>
        <w:r>
          <w:rPr>
            <w:noProof/>
            <w:webHidden/>
          </w:rPr>
          <w:fldChar w:fldCharType="separate"/>
        </w:r>
        <w:r>
          <w:rPr>
            <w:noProof/>
            <w:webHidden/>
          </w:rPr>
          <w:t>77</w:t>
        </w:r>
        <w:r>
          <w:rPr>
            <w:noProof/>
            <w:webHidden/>
          </w:rPr>
          <w:fldChar w:fldCharType="end"/>
        </w:r>
      </w:hyperlink>
    </w:p>
    <w:p w14:paraId="43DA75A7" w14:textId="381F1574" w:rsidR="009202A4" w:rsidRPr="005A42C4" w:rsidRDefault="00941FBB" w:rsidP="00473699">
      <w:pPr>
        <w:pStyle w:val="TOC2"/>
        <w:rPr>
          <w:rFonts w:eastAsiaTheme="minorHAnsi"/>
        </w:rPr>
      </w:pPr>
      <w:r w:rsidRPr="005A42C4">
        <w:rPr>
          <w:rFonts w:eastAsiaTheme="minorHAnsi"/>
        </w:rPr>
        <w:fldChar w:fldCharType="end"/>
      </w:r>
      <w:r w:rsidR="009202A4" w:rsidRPr="005A42C4">
        <w:br w:type="page"/>
      </w:r>
    </w:p>
    <w:p w14:paraId="2EE05F30" w14:textId="77777777" w:rsidR="002A0232" w:rsidRPr="005A42C4" w:rsidRDefault="002A0232" w:rsidP="009474F1">
      <w:pPr>
        <w:pStyle w:val="Heading1"/>
        <w:rPr>
          <w:rFonts w:ascii="Cambria" w:hAnsi="Cambria"/>
          <w:lang w:val="en-GB"/>
        </w:rPr>
      </w:pPr>
      <w:bookmarkStart w:id="0" w:name="_Toc12973008"/>
      <w:bookmarkStart w:id="1" w:name="_Toc13755738"/>
      <w:r w:rsidRPr="005A42C4">
        <w:rPr>
          <w:rFonts w:ascii="Cambria" w:hAnsi="Cambria"/>
          <w:lang w:val="en-GB"/>
        </w:rPr>
        <w:lastRenderedPageBreak/>
        <w:t>Part 1</w:t>
      </w:r>
      <w:bookmarkEnd w:id="0"/>
      <w:bookmarkEnd w:id="1"/>
    </w:p>
    <w:p w14:paraId="70B06DE8" w14:textId="77777777" w:rsidR="002A0232" w:rsidRPr="005A42C4" w:rsidRDefault="002A0232" w:rsidP="009474F1">
      <w:pPr>
        <w:pStyle w:val="Heading2"/>
        <w:rPr>
          <w:rFonts w:ascii="Cambria" w:hAnsi="Cambria"/>
          <w:lang w:val="en-GB"/>
        </w:rPr>
      </w:pPr>
      <w:bookmarkStart w:id="2" w:name="_Toc12973009"/>
      <w:bookmarkStart w:id="3" w:name="_Toc13755739"/>
      <w:r w:rsidRPr="005A42C4">
        <w:rPr>
          <w:rFonts w:ascii="Cambria" w:hAnsi="Cambria"/>
          <w:lang w:val="en-GB"/>
        </w:rPr>
        <w:t xml:space="preserve">General </w:t>
      </w:r>
      <w:r w:rsidR="00341874" w:rsidRPr="005A42C4">
        <w:rPr>
          <w:rFonts w:ascii="Cambria" w:hAnsi="Cambria"/>
          <w:lang w:val="en-GB"/>
        </w:rPr>
        <w:t>Guidance</w:t>
      </w:r>
      <w:bookmarkEnd w:id="2"/>
      <w:bookmarkEnd w:id="3"/>
    </w:p>
    <w:p w14:paraId="3B754356" w14:textId="77777777" w:rsidR="002D6809" w:rsidRPr="005A42C4" w:rsidRDefault="002D6809" w:rsidP="00E4539A">
      <w:pPr>
        <w:pStyle w:val="Heading3"/>
        <w:numPr>
          <w:ilvl w:val="0"/>
          <w:numId w:val="19"/>
        </w:numPr>
        <w:ind w:left="567" w:hanging="567"/>
        <w:rPr>
          <w:rFonts w:ascii="Cambria" w:hAnsi="Cambria"/>
          <w:lang w:val="en-GB"/>
        </w:rPr>
      </w:pPr>
      <w:bookmarkStart w:id="4" w:name="_Toc12973010"/>
      <w:bookmarkStart w:id="5" w:name="_Toc13755740"/>
      <w:r w:rsidRPr="005A42C4">
        <w:rPr>
          <w:rFonts w:ascii="Cambria" w:hAnsi="Cambria"/>
          <w:lang w:val="en-GB"/>
        </w:rPr>
        <w:t>Scope of the Report</w:t>
      </w:r>
      <w:bookmarkEnd w:id="4"/>
      <w:bookmarkEnd w:id="5"/>
    </w:p>
    <w:p w14:paraId="1CA4FD01" w14:textId="77777777" w:rsidR="00CA2C6A" w:rsidRPr="005A42C4" w:rsidRDefault="00C27B7D" w:rsidP="009474F1">
      <w:pPr>
        <w:rPr>
          <w:rFonts w:ascii="Cambria" w:hAnsi="Cambria"/>
          <w:lang w:val="en-GB"/>
        </w:rPr>
      </w:pPr>
      <w:r w:rsidRPr="005A42C4">
        <w:rPr>
          <w:rFonts w:ascii="Cambria" w:hAnsi="Cambria"/>
          <w:lang w:val="en-GB"/>
        </w:rPr>
        <w:t>In</w:t>
      </w:r>
      <w:r w:rsidR="00804479" w:rsidRPr="005A42C4">
        <w:rPr>
          <w:rFonts w:ascii="Cambria" w:hAnsi="Cambria"/>
          <w:lang w:val="en-GB"/>
        </w:rPr>
        <w:t xml:space="preserve"> principle</w:t>
      </w:r>
      <w:r w:rsidR="00D57F3C" w:rsidRPr="005A42C4">
        <w:rPr>
          <w:rFonts w:ascii="Cambria" w:hAnsi="Cambria"/>
          <w:lang w:val="en-GB"/>
        </w:rPr>
        <w:t xml:space="preserve">, </w:t>
      </w:r>
      <w:r w:rsidR="00804479" w:rsidRPr="005A42C4">
        <w:rPr>
          <w:rFonts w:ascii="Cambria" w:hAnsi="Cambria"/>
          <w:lang w:val="en-GB"/>
        </w:rPr>
        <w:t xml:space="preserve">all </w:t>
      </w:r>
      <w:r w:rsidR="00D57F3C" w:rsidRPr="005A42C4">
        <w:rPr>
          <w:rFonts w:ascii="Cambria" w:hAnsi="Cambria"/>
          <w:lang w:val="en-GB"/>
        </w:rPr>
        <w:t>t</w:t>
      </w:r>
      <w:r w:rsidR="001E6D25" w:rsidRPr="005A42C4">
        <w:rPr>
          <w:rFonts w:ascii="Cambria" w:hAnsi="Cambria"/>
          <w:lang w:val="en-GB"/>
        </w:rPr>
        <w:t xml:space="preserve">he </w:t>
      </w:r>
      <w:r w:rsidR="00503250" w:rsidRPr="005A42C4">
        <w:rPr>
          <w:rFonts w:ascii="Cambria" w:hAnsi="Cambria"/>
          <w:lang w:val="en-GB"/>
        </w:rPr>
        <w:t xml:space="preserve">entities </w:t>
      </w:r>
      <w:r w:rsidR="00673BB1" w:rsidRPr="005A42C4">
        <w:rPr>
          <w:rFonts w:ascii="Cambria" w:hAnsi="Cambria"/>
          <w:lang w:val="en-GB"/>
        </w:rPr>
        <w:t xml:space="preserve">in scope of </w:t>
      </w:r>
      <w:r w:rsidR="001E6D25" w:rsidRPr="005A42C4">
        <w:rPr>
          <w:rFonts w:ascii="Cambria" w:hAnsi="Cambria"/>
          <w:lang w:val="en-GB"/>
        </w:rPr>
        <w:t xml:space="preserve">BRRD and SRMR, in articles </w:t>
      </w:r>
      <w:r w:rsidR="00673BB1" w:rsidRPr="005A42C4">
        <w:rPr>
          <w:rFonts w:ascii="Cambria" w:hAnsi="Cambria"/>
          <w:lang w:val="en-GB"/>
        </w:rPr>
        <w:t>1</w:t>
      </w:r>
      <w:r w:rsidR="001E6D25" w:rsidRPr="005A42C4">
        <w:rPr>
          <w:rFonts w:ascii="Cambria" w:hAnsi="Cambria"/>
          <w:lang w:val="en-GB"/>
        </w:rPr>
        <w:t xml:space="preserve"> and 2</w:t>
      </w:r>
      <w:r w:rsidR="00193611" w:rsidRPr="005A42C4">
        <w:rPr>
          <w:rFonts w:ascii="Cambria" w:hAnsi="Cambria"/>
          <w:lang w:val="en-GB"/>
        </w:rPr>
        <w:t xml:space="preserve"> respectively</w:t>
      </w:r>
      <w:r w:rsidR="00804479" w:rsidRPr="005A42C4">
        <w:rPr>
          <w:rFonts w:ascii="Cambria" w:hAnsi="Cambria"/>
          <w:lang w:val="en-GB"/>
        </w:rPr>
        <w:t xml:space="preserve"> could be required to fill in the Liability Data </w:t>
      </w:r>
      <w:r w:rsidR="00D56CFC" w:rsidRPr="005A42C4">
        <w:rPr>
          <w:rFonts w:ascii="Cambria" w:hAnsi="Cambria"/>
          <w:lang w:val="en-GB"/>
        </w:rPr>
        <w:t>Report</w:t>
      </w:r>
      <w:r w:rsidR="001E6D25" w:rsidRPr="005A42C4">
        <w:rPr>
          <w:rFonts w:ascii="Cambria" w:hAnsi="Cambria"/>
          <w:lang w:val="en-GB"/>
        </w:rPr>
        <w:t>.</w:t>
      </w:r>
      <w:r w:rsidR="00193611" w:rsidRPr="005A42C4">
        <w:rPr>
          <w:rFonts w:ascii="Cambria" w:hAnsi="Cambria"/>
          <w:lang w:val="en-GB"/>
        </w:rPr>
        <w:t xml:space="preserve"> </w:t>
      </w:r>
      <w:r w:rsidR="00673BB1" w:rsidRPr="005A42C4">
        <w:rPr>
          <w:rFonts w:ascii="Cambria" w:hAnsi="Cambria"/>
          <w:lang w:val="en-GB"/>
        </w:rPr>
        <w:t>B</w:t>
      </w:r>
      <w:r w:rsidR="00CA2C6A" w:rsidRPr="005A42C4">
        <w:rPr>
          <w:rFonts w:ascii="Cambria" w:hAnsi="Cambria"/>
          <w:lang w:val="en-GB"/>
        </w:rPr>
        <w:t xml:space="preserve">ranches, </w:t>
      </w:r>
      <w:r w:rsidR="00673BB1" w:rsidRPr="005A42C4">
        <w:rPr>
          <w:rFonts w:ascii="Cambria" w:hAnsi="Cambria"/>
          <w:lang w:val="en-GB"/>
        </w:rPr>
        <w:t xml:space="preserve">as they do </w:t>
      </w:r>
      <w:r w:rsidR="00CA2C6A" w:rsidRPr="005A42C4">
        <w:rPr>
          <w:rFonts w:ascii="Cambria" w:hAnsi="Cambria"/>
          <w:lang w:val="en-GB"/>
        </w:rPr>
        <w:t>not represent separate legal entities, shall be included in the templates of the legal entity to which they belong irrespectiv</w:t>
      </w:r>
      <w:r w:rsidR="00DD619D" w:rsidRPr="005A42C4">
        <w:rPr>
          <w:rFonts w:ascii="Cambria" w:hAnsi="Cambria"/>
          <w:lang w:val="en-GB"/>
        </w:rPr>
        <w:t>e of their geographic location.</w:t>
      </w:r>
      <w:r w:rsidR="00CC72C1" w:rsidRPr="005A42C4">
        <w:rPr>
          <w:rFonts w:ascii="Cambria" w:hAnsi="Cambria"/>
          <w:lang w:val="en-GB"/>
        </w:rPr>
        <w:t xml:space="preserve"> Where the </w:t>
      </w:r>
      <w:r w:rsidR="00B71D0E" w:rsidRPr="005A42C4">
        <w:rPr>
          <w:rFonts w:ascii="Cambria" w:hAnsi="Cambria"/>
          <w:lang w:val="en-GB"/>
        </w:rPr>
        <w:t>Group-Level Resolution Authority (</w:t>
      </w:r>
      <w:r w:rsidR="00CC72C1" w:rsidRPr="005A42C4">
        <w:rPr>
          <w:rFonts w:ascii="Cambria" w:hAnsi="Cambria"/>
          <w:lang w:val="en-GB"/>
        </w:rPr>
        <w:t>GLRA</w:t>
      </w:r>
      <w:r w:rsidR="00B71D0E" w:rsidRPr="005A42C4">
        <w:rPr>
          <w:rFonts w:ascii="Cambria" w:hAnsi="Cambria"/>
          <w:lang w:val="en-GB"/>
        </w:rPr>
        <w:t>)</w:t>
      </w:r>
      <w:r w:rsidR="00CC72C1" w:rsidRPr="005A42C4">
        <w:rPr>
          <w:rFonts w:ascii="Cambria" w:hAnsi="Cambria"/>
          <w:lang w:val="en-GB"/>
        </w:rPr>
        <w:t xml:space="preserve"> of an entity within the Banking Union (BU) is located outside of the BU (within or outside of the EU), </w:t>
      </w:r>
      <w:r w:rsidR="00D56CFC" w:rsidRPr="005A42C4">
        <w:rPr>
          <w:rFonts w:ascii="Cambria" w:hAnsi="Cambria"/>
          <w:lang w:val="en-GB"/>
        </w:rPr>
        <w:t>reporting</w:t>
      </w:r>
      <w:r w:rsidR="00CC72C1" w:rsidRPr="005A42C4">
        <w:rPr>
          <w:rFonts w:ascii="Cambria" w:hAnsi="Cambria"/>
          <w:lang w:val="en-GB"/>
        </w:rPr>
        <w:t xml:space="preserve"> shall be performed solely taking into account the sub-consolidation of the entity within the BU.</w:t>
      </w:r>
    </w:p>
    <w:p w14:paraId="008AE323" w14:textId="77777777" w:rsidR="00A8758A" w:rsidRPr="005A42C4" w:rsidRDefault="00A8758A" w:rsidP="009474F1">
      <w:pPr>
        <w:rPr>
          <w:rFonts w:ascii="Cambria" w:hAnsi="Cambria"/>
          <w:lang w:val="en-GB"/>
        </w:rPr>
      </w:pPr>
    </w:p>
    <w:p w14:paraId="6B386C09" w14:textId="77777777" w:rsidR="00C1683F" w:rsidRPr="005A42C4" w:rsidRDefault="00DC6577" w:rsidP="00C1683F">
      <w:pPr>
        <w:rPr>
          <w:rFonts w:ascii="Cambria" w:hAnsi="Cambria"/>
          <w:lang w:val="en-GB"/>
        </w:rPr>
      </w:pPr>
      <w:r w:rsidRPr="005A42C4">
        <w:rPr>
          <w:rFonts w:ascii="Cambria" w:hAnsi="Cambria"/>
          <w:lang w:val="en-GB"/>
        </w:rPr>
        <w:t>T</w:t>
      </w:r>
      <w:r w:rsidR="00C1683F" w:rsidRPr="005A42C4">
        <w:rPr>
          <w:rFonts w:ascii="Cambria" w:hAnsi="Cambria"/>
          <w:lang w:val="en-GB"/>
        </w:rPr>
        <w:t xml:space="preserve">aking into account the needs for resolution planning, the </w:t>
      </w:r>
      <w:r w:rsidR="00563FF6" w:rsidRPr="005A42C4">
        <w:rPr>
          <w:rFonts w:ascii="Cambria" w:hAnsi="Cambria"/>
          <w:lang w:val="en-GB"/>
        </w:rPr>
        <w:t xml:space="preserve">Liability Data </w:t>
      </w:r>
      <w:r w:rsidR="00D56CFC" w:rsidRPr="005A42C4">
        <w:rPr>
          <w:rFonts w:ascii="Cambria" w:hAnsi="Cambria"/>
          <w:lang w:val="en-GB"/>
        </w:rPr>
        <w:t>Report</w:t>
      </w:r>
      <w:r w:rsidR="00563FF6" w:rsidRPr="005A42C4">
        <w:rPr>
          <w:rFonts w:ascii="Cambria" w:hAnsi="Cambria"/>
          <w:lang w:val="en-GB"/>
        </w:rPr>
        <w:t xml:space="preserve"> is </w:t>
      </w:r>
      <w:r w:rsidRPr="005A42C4">
        <w:rPr>
          <w:rFonts w:ascii="Cambria" w:hAnsi="Cambria"/>
          <w:lang w:val="en-GB"/>
        </w:rPr>
        <w:t>to be submitted mainly</w:t>
      </w:r>
      <w:r w:rsidR="00563FF6" w:rsidRPr="005A42C4">
        <w:rPr>
          <w:rFonts w:ascii="Cambria" w:hAnsi="Cambria"/>
          <w:lang w:val="en-GB"/>
        </w:rPr>
        <w:t xml:space="preserve"> for R</w:t>
      </w:r>
      <w:r w:rsidR="00883BBC" w:rsidRPr="005A42C4">
        <w:rPr>
          <w:rFonts w:ascii="Cambria" w:hAnsi="Cambria"/>
          <w:lang w:val="en-GB"/>
        </w:rPr>
        <w:t>elevant</w:t>
      </w:r>
      <w:r w:rsidR="00883BBC" w:rsidRPr="005A42C4" w:rsidDel="00883BBC">
        <w:rPr>
          <w:rFonts w:ascii="Cambria" w:hAnsi="Cambria"/>
          <w:lang w:val="en-GB"/>
        </w:rPr>
        <w:t xml:space="preserve"> </w:t>
      </w:r>
      <w:r w:rsidR="00563FF6" w:rsidRPr="005A42C4">
        <w:rPr>
          <w:rFonts w:ascii="Cambria" w:hAnsi="Cambria"/>
          <w:lang w:val="en-GB"/>
        </w:rPr>
        <w:t>L</w:t>
      </w:r>
      <w:r w:rsidR="00C1683F" w:rsidRPr="005A42C4">
        <w:rPr>
          <w:rFonts w:ascii="Cambria" w:hAnsi="Cambria"/>
          <w:lang w:val="en-GB"/>
        </w:rPr>
        <w:t xml:space="preserve">egal </w:t>
      </w:r>
      <w:r w:rsidR="00563FF6" w:rsidRPr="005A42C4">
        <w:rPr>
          <w:rFonts w:ascii="Cambria" w:hAnsi="Cambria"/>
          <w:lang w:val="en-GB"/>
        </w:rPr>
        <w:t>E</w:t>
      </w:r>
      <w:r w:rsidR="00C1683F" w:rsidRPr="005A42C4">
        <w:rPr>
          <w:rFonts w:ascii="Cambria" w:hAnsi="Cambria"/>
          <w:lang w:val="en-GB"/>
        </w:rPr>
        <w:t>ntities (</w:t>
      </w:r>
      <w:r w:rsidR="00883BBC" w:rsidRPr="005A42C4">
        <w:rPr>
          <w:rFonts w:ascii="Cambria" w:hAnsi="Cambria"/>
          <w:lang w:val="en-GB"/>
        </w:rPr>
        <w:t>R</w:t>
      </w:r>
      <w:r w:rsidR="00C1683F" w:rsidRPr="005A42C4">
        <w:rPr>
          <w:rFonts w:ascii="Cambria" w:hAnsi="Cambria"/>
          <w:lang w:val="en-GB"/>
        </w:rPr>
        <w:t>LE</w:t>
      </w:r>
      <w:r w:rsidR="00563FF6" w:rsidRPr="005A42C4">
        <w:rPr>
          <w:rFonts w:ascii="Cambria" w:hAnsi="Cambria"/>
          <w:lang w:val="en-GB"/>
        </w:rPr>
        <w:t>s</w:t>
      </w:r>
      <w:r w:rsidR="00C1683F" w:rsidRPr="005A42C4">
        <w:rPr>
          <w:rFonts w:ascii="Cambria" w:hAnsi="Cambria"/>
          <w:lang w:val="en-GB"/>
        </w:rPr>
        <w:t>)</w:t>
      </w:r>
      <w:r w:rsidRPr="005A42C4">
        <w:rPr>
          <w:rFonts w:ascii="Cambria" w:hAnsi="Cambria"/>
          <w:lang w:val="en-GB"/>
        </w:rPr>
        <w:t xml:space="preserve"> and at the group consolidation level</w:t>
      </w:r>
      <w:r w:rsidR="00C1683F" w:rsidRPr="005A42C4">
        <w:rPr>
          <w:rFonts w:ascii="Cambria" w:hAnsi="Cambria"/>
          <w:lang w:val="en-GB"/>
        </w:rPr>
        <w:t xml:space="preserve">. For the purposes of this report, </w:t>
      </w:r>
      <w:r w:rsidR="00883BBC" w:rsidRPr="005A42C4">
        <w:rPr>
          <w:rFonts w:ascii="Cambria" w:hAnsi="Cambria"/>
          <w:lang w:val="en-GB"/>
        </w:rPr>
        <w:t>R</w:t>
      </w:r>
      <w:r w:rsidR="00C1683F" w:rsidRPr="005A42C4">
        <w:rPr>
          <w:rFonts w:ascii="Cambria" w:hAnsi="Cambria"/>
          <w:lang w:val="en-GB"/>
        </w:rPr>
        <w:t>LE</w:t>
      </w:r>
      <w:r w:rsidR="00563FF6" w:rsidRPr="005A42C4">
        <w:rPr>
          <w:rFonts w:ascii="Cambria" w:hAnsi="Cambria"/>
          <w:lang w:val="en-GB"/>
        </w:rPr>
        <w:t>s</w:t>
      </w:r>
      <w:r w:rsidR="00C1683F" w:rsidRPr="005A42C4">
        <w:rPr>
          <w:rFonts w:ascii="Cambria" w:hAnsi="Cambria"/>
          <w:lang w:val="en-GB"/>
        </w:rPr>
        <w:t xml:space="preserve"> refer to legal entit</w:t>
      </w:r>
      <w:r w:rsidR="00563FF6" w:rsidRPr="005A42C4">
        <w:rPr>
          <w:rFonts w:ascii="Cambria" w:hAnsi="Cambria"/>
          <w:lang w:val="en-GB"/>
        </w:rPr>
        <w:t>ies</w:t>
      </w:r>
      <w:r w:rsidR="00C1683F" w:rsidRPr="005A42C4">
        <w:rPr>
          <w:rFonts w:ascii="Cambria" w:hAnsi="Cambria"/>
          <w:lang w:val="en-GB"/>
        </w:rPr>
        <w:t xml:space="preserve"> that </w:t>
      </w:r>
      <w:r w:rsidR="00C27B7D" w:rsidRPr="005A42C4">
        <w:rPr>
          <w:rFonts w:ascii="Cambria" w:hAnsi="Cambria"/>
          <w:lang w:val="en-GB"/>
        </w:rPr>
        <w:t>fulfil</w:t>
      </w:r>
      <w:r w:rsidR="00C1683F" w:rsidRPr="005A42C4">
        <w:rPr>
          <w:rFonts w:ascii="Cambria" w:hAnsi="Cambria"/>
          <w:lang w:val="en-GB"/>
        </w:rPr>
        <w:t xml:space="preserve"> one of the following criteria:</w:t>
      </w:r>
    </w:p>
    <w:p w14:paraId="6E95898F" w14:textId="77777777" w:rsidR="00C1683F" w:rsidRPr="00706844" w:rsidRDefault="00C1683F" w:rsidP="00B27610">
      <w:pPr>
        <w:pStyle w:val="ListParagraph"/>
        <w:numPr>
          <w:ilvl w:val="0"/>
          <w:numId w:val="24"/>
        </w:numPr>
        <w:rPr>
          <w:lang w:val="en-GB"/>
        </w:rPr>
      </w:pPr>
      <w:r w:rsidRPr="005A42C4">
        <w:rPr>
          <w:sz w:val="20"/>
          <w:lang w:val="en-GB"/>
        </w:rPr>
        <w:t xml:space="preserve">It represents or provides more than 5% of the group's </w:t>
      </w:r>
      <w:r w:rsidR="00A605CD" w:rsidRPr="005A42C4">
        <w:rPr>
          <w:sz w:val="20"/>
          <w:lang w:val="en-GB"/>
        </w:rPr>
        <w:t>total risk exposure amount</w:t>
      </w:r>
      <w:r w:rsidR="00A605CD" w:rsidRPr="005A42C4">
        <w:rPr>
          <w:rStyle w:val="FootnoteReference"/>
          <w:sz w:val="20"/>
          <w:lang w:val="en-GB"/>
        </w:rPr>
        <w:footnoteReference w:id="2"/>
      </w:r>
      <w:r w:rsidRPr="005A42C4">
        <w:rPr>
          <w:sz w:val="20"/>
          <w:lang w:val="en-GB"/>
        </w:rPr>
        <w:t>, leverage exposure</w:t>
      </w:r>
      <w:r w:rsidR="00A605CD" w:rsidRPr="005A42C4">
        <w:rPr>
          <w:rStyle w:val="FootnoteReference"/>
          <w:sz w:val="20"/>
          <w:lang w:val="en-GB"/>
        </w:rPr>
        <w:footnoteReference w:id="3"/>
      </w:r>
      <w:r w:rsidRPr="005A42C4">
        <w:rPr>
          <w:sz w:val="20"/>
          <w:lang w:val="en-GB"/>
        </w:rPr>
        <w:t xml:space="preserve"> or total operating income</w:t>
      </w:r>
      <w:r w:rsidR="00A605CD" w:rsidRPr="005A42C4">
        <w:rPr>
          <w:rStyle w:val="FootnoteReference"/>
          <w:sz w:val="20"/>
          <w:lang w:val="en-GB"/>
        </w:rPr>
        <w:footnoteReference w:id="4"/>
      </w:r>
      <w:r w:rsidRPr="005A42C4">
        <w:rPr>
          <w:sz w:val="20"/>
          <w:lang w:val="en-GB"/>
        </w:rPr>
        <w:t>; or</w:t>
      </w:r>
    </w:p>
    <w:p w14:paraId="79CB14BA" w14:textId="77777777" w:rsidR="00D57F3C" w:rsidRPr="00706844" w:rsidRDefault="00C1683F" w:rsidP="00B27610">
      <w:pPr>
        <w:pStyle w:val="ListParagraph"/>
        <w:numPr>
          <w:ilvl w:val="0"/>
          <w:numId w:val="24"/>
        </w:numPr>
        <w:rPr>
          <w:lang w:val="en-GB"/>
        </w:rPr>
      </w:pPr>
      <w:r w:rsidRPr="005A42C4">
        <w:rPr>
          <w:sz w:val="20"/>
          <w:lang w:val="en-GB"/>
        </w:rPr>
        <w:t>It provides critical functions.</w:t>
      </w:r>
    </w:p>
    <w:p w14:paraId="7EE7256B" w14:textId="77777777" w:rsidR="00D57F3C" w:rsidRPr="005A42C4" w:rsidRDefault="00D57F3C" w:rsidP="009474F1">
      <w:pPr>
        <w:rPr>
          <w:rFonts w:ascii="Cambria" w:hAnsi="Cambria"/>
          <w:lang w:val="en-GB"/>
        </w:rPr>
      </w:pPr>
    </w:p>
    <w:p w14:paraId="049371D6" w14:textId="77777777" w:rsidR="00A8758A" w:rsidRPr="005A42C4" w:rsidRDefault="00193611" w:rsidP="009474F1">
      <w:pPr>
        <w:rPr>
          <w:rFonts w:ascii="Cambria" w:hAnsi="Cambria"/>
          <w:lang w:val="en-GB"/>
        </w:rPr>
      </w:pPr>
      <w:r w:rsidRPr="005A42C4">
        <w:rPr>
          <w:rFonts w:ascii="Cambria" w:hAnsi="Cambria"/>
          <w:lang w:val="en-GB"/>
        </w:rPr>
        <w:t xml:space="preserve">Information for the </w:t>
      </w:r>
      <w:r w:rsidR="00883BBC" w:rsidRPr="005A42C4">
        <w:rPr>
          <w:rFonts w:ascii="Cambria" w:hAnsi="Cambria"/>
          <w:lang w:val="en-GB"/>
        </w:rPr>
        <w:t xml:space="preserve">RLE </w:t>
      </w:r>
      <w:r w:rsidRPr="005A42C4">
        <w:rPr>
          <w:rFonts w:ascii="Cambria" w:hAnsi="Cambria"/>
          <w:lang w:val="en-GB"/>
        </w:rPr>
        <w:t>in scope is collected on a consolidated, sub-consolidated and entity-level (</w:t>
      </w:r>
      <w:r w:rsidR="0089050D" w:rsidRPr="005A42C4">
        <w:rPr>
          <w:rFonts w:ascii="Cambria" w:hAnsi="Cambria"/>
          <w:lang w:val="en-GB"/>
        </w:rPr>
        <w:t>individual</w:t>
      </w:r>
      <w:r w:rsidRPr="005A42C4">
        <w:rPr>
          <w:rFonts w:ascii="Cambria" w:hAnsi="Cambria"/>
          <w:lang w:val="en-GB"/>
        </w:rPr>
        <w:t>) basis, as applicable for each entity.</w:t>
      </w:r>
    </w:p>
    <w:p w14:paraId="2782CAE0" w14:textId="77777777" w:rsidR="00193611" w:rsidRPr="005A42C4" w:rsidRDefault="00563FF6" w:rsidP="009474F1">
      <w:pPr>
        <w:rPr>
          <w:rFonts w:ascii="Cambria" w:hAnsi="Cambria"/>
          <w:lang w:val="en-GB"/>
        </w:rPr>
      </w:pPr>
      <w:r w:rsidRPr="005A42C4">
        <w:rPr>
          <w:rFonts w:ascii="Cambria" w:hAnsi="Cambria"/>
          <w:lang w:val="en-GB"/>
        </w:rPr>
        <w:t xml:space="preserve">As </w:t>
      </w:r>
      <w:r w:rsidR="001D7EA5" w:rsidRPr="005A42C4">
        <w:rPr>
          <w:rFonts w:ascii="Cambria" w:hAnsi="Cambria"/>
          <w:lang w:val="en-GB"/>
        </w:rPr>
        <w:t xml:space="preserve">a </w:t>
      </w:r>
      <w:r w:rsidRPr="005A42C4">
        <w:rPr>
          <w:rFonts w:ascii="Cambria" w:hAnsi="Cambria"/>
          <w:lang w:val="en-GB"/>
        </w:rPr>
        <w:t>starting point</w:t>
      </w:r>
      <w:r w:rsidR="00193611" w:rsidRPr="005A42C4">
        <w:rPr>
          <w:rFonts w:ascii="Cambria" w:hAnsi="Cambria"/>
          <w:lang w:val="en-GB"/>
        </w:rPr>
        <w:t xml:space="preserve">, </w:t>
      </w:r>
      <w:r w:rsidRPr="005A42C4">
        <w:rPr>
          <w:rFonts w:ascii="Cambria" w:hAnsi="Cambria"/>
          <w:lang w:val="en-GB"/>
        </w:rPr>
        <w:t xml:space="preserve">the </w:t>
      </w:r>
      <w:r w:rsidR="00193611" w:rsidRPr="005A42C4">
        <w:rPr>
          <w:rFonts w:ascii="Cambria" w:hAnsi="Cambria"/>
          <w:lang w:val="en-GB"/>
        </w:rPr>
        <w:t>c</w:t>
      </w:r>
      <w:r w:rsidR="00C820DC" w:rsidRPr="005A42C4">
        <w:rPr>
          <w:rFonts w:ascii="Cambria" w:hAnsi="Cambria"/>
          <w:lang w:val="en-GB"/>
        </w:rPr>
        <w:t>onsolidation</w:t>
      </w:r>
      <w:r w:rsidR="00DD619D" w:rsidRPr="005A42C4">
        <w:rPr>
          <w:rFonts w:ascii="Cambria" w:hAnsi="Cambria"/>
          <w:lang w:val="en-GB"/>
        </w:rPr>
        <w:t xml:space="preserve"> </w:t>
      </w:r>
      <w:r w:rsidR="00457224" w:rsidRPr="005A42C4">
        <w:rPr>
          <w:rFonts w:ascii="Cambria" w:hAnsi="Cambria"/>
          <w:lang w:val="en-GB"/>
        </w:rPr>
        <w:t xml:space="preserve">and sub-consolidation </w:t>
      </w:r>
      <w:r w:rsidR="00CA2C6A" w:rsidRPr="005A42C4">
        <w:rPr>
          <w:rFonts w:ascii="Cambria" w:hAnsi="Cambria"/>
          <w:lang w:val="en-GB"/>
        </w:rPr>
        <w:t>perimeter</w:t>
      </w:r>
      <w:r w:rsidR="00673BB1" w:rsidRPr="005A42C4">
        <w:rPr>
          <w:rFonts w:ascii="Cambria" w:hAnsi="Cambria"/>
          <w:lang w:val="en-GB"/>
        </w:rPr>
        <w:t>s</w:t>
      </w:r>
      <w:r w:rsidR="00CA2C6A" w:rsidRPr="005A42C4">
        <w:rPr>
          <w:rFonts w:ascii="Cambria" w:hAnsi="Cambria"/>
          <w:lang w:val="en-GB"/>
        </w:rPr>
        <w:t xml:space="preserve"> </w:t>
      </w:r>
      <w:r w:rsidR="006B5D02" w:rsidRPr="005A42C4">
        <w:rPr>
          <w:rFonts w:ascii="Cambria" w:hAnsi="Cambria"/>
          <w:lang w:val="en-GB"/>
        </w:rPr>
        <w:t xml:space="preserve">for reporting </w:t>
      </w:r>
      <w:r w:rsidR="00193611" w:rsidRPr="005A42C4">
        <w:rPr>
          <w:rFonts w:ascii="Cambria" w:hAnsi="Cambria"/>
          <w:lang w:val="en-GB"/>
        </w:rPr>
        <w:t xml:space="preserve">are </w:t>
      </w:r>
      <w:r w:rsidR="00CA2C6A" w:rsidRPr="005A42C4">
        <w:rPr>
          <w:rFonts w:ascii="Cambria" w:hAnsi="Cambria"/>
          <w:lang w:val="en-GB"/>
        </w:rPr>
        <w:t xml:space="preserve">based on </w:t>
      </w:r>
      <w:r w:rsidRPr="005A42C4">
        <w:rPr>
          <w:rFonts w:ascii="Cambria" w:hAnsi="Cambria"/>
          <w:lang w:val="en-GB"/>
        </w:rPr>
        <w:t xml:space="preserve">the </w:t>
      </w:r>
      <w:r w:rsidR="00CA2C6A" w:rsidRPr="005A42C4">
        <w:rPr>
          <w:rFonts w:ascii="Cambria" w:hAnsi="Cambria"/>
          <w:lang w:val="en-GB"/>
        </w:rPr>
        <w:t xml:space="preserve">prudential standards, i.e. in line with </w:t>
      </w:r>
      <w:r w:rsidRPr="005A42C4">
        <w:rPr>
          <w:rFonts w:ascii="Cambria" w:hAnsi="Cambria"/>
          <w:lang w:val="en-GB"/>
        </w:rPr>
        <w:t xml:space="preserve">the </w:t>
      </w:r>
      <w:r w:rsidR="006B5D02" w:rsidRPr="005A42C4">
        <w:rPr>
          <w:rFonts w:ascii="Cambria" w:hAnsi="Cambria"/>
          <w:lang w:val="en-GB"/>
        </w:rPr>
        <w:t xml:space="preserve">reporting </w:t>
      </w:r>
      <w:r w:rsidR="00CA2C6A" w:rsidRPr="005A42C4">
        <w:rPr>
          <w:rFonts w:ascii="Cambria" w:hAnsi="Cambria"/>
          <w:lang w:val="en-GB"/>
        </w:rPr>
        <w:t>requirements stemming from</w:t>
      </w:r>
      <w:r w:rsidRPr="005A42C4">
        <w:rPr>
          <w:rFonts w:ascii="Cambria" w:hAnsi="Cambria"/>
          <w:lang w:val="en-GB"/>
        </w:rPr>
        <w:t xml:space="preserve"> the</w:t>
      </w:r>
      <w:r w:rsidR="00CA2C6A" w:rsidRPr="005A42C4">
        <w:rPr>
          <w:rFonts w:ascii="Cambria" w:hAnsi="Cambria"/>
          <w:lang w:val="en-GB"/>
        </w:rPr>
        <w:t xml:space="preserve"> CRR and consistent with the reporti</w:t>
      </w:r>
      <w:r w:rsidR="00FA6C92" w:rsidRPr="005A42C4">
        <w:rPr>
          <w:rFonts w:ascii="Cambria" w:hAnsi="Cambria"/>
          <w:lang w:val="en-GB"/>
        </w:rPr>
        <w:t>ng</w:t>
      </w:r>
      <w:r w:rsidR="006B5D02" w:rsidRPr="005A42C4">
        <w:rPr>
          <w:rFonts w:ascii="Cambria" w:hAnsi="Cambria"/>
          <w:lang w:val="en-GB"/>
        </w:rPr>
        <w:t xml:space="preserve"> scope</w:t>
      </w:r>
      <w:r w:rsidR="00FA6C92" w:rsidRPr="005A42C4">
        <w:rPr>
          <w:rFonts w:ascii="Cambria" w:hAnsi="Cambria"/>
          <w:lang w:val="en-GB"/>
        </w:rPr>
        <w:t xml:space="preserve"> </w:t>
      </w:r>
      <w:r w:rsidRPr="005A42C4">
        <w:rPr>
          <w:rFonts w:ascii="Cambria" w:hAnsi="Cambria"/>
          <w:lang w:val="en-GB"/>
        </w:rPr>
        <w:t>of the prudential reporting</w:t>
      </w:r>
      <w:r w:rsidR="00FA6C92" w:rsidRPr="005A42C4">
        <w:rPr>
          <w:rFonts w:ascii="Cambria" w:hAnsi="Cambria"/>
          <w:lang w:val="en-GB"/>
        </w:rPr>
        <w:t xml:space="preserve"> (</w:t>
      </w:r>
      <w:r w:rsidRPr="005A42C4">
        <w:rPr>
          <w:rFonts w:ascii="Cambria" w:hAnsi="Cambria"/>
          <w:lang w:val="en-GB"/>
        </w:rPr>
        <w:t xml:space="preserve">i.e. </w:t>
      </w:r>
      <w:r w:rsidR="00FA6C92" w:rsidRPr="005A42C4">
        <w:rPr>
          <w:rFonts w:ascii="Cambria" w:hAnsi="Cambria"/>
          <w:lang w:val="en-GB"/>
        </w:rPr>
        <w:t xml:space="preserve">COREP </w:t>
      </w:r>
      <w:r w:rsidRPr="005A42C4">
        <w:rPr>
          <w:rFonts w:ascii="Cambria" w:hAnsi="Cambria"/>
          <w:lang w:val="en-GB"/>
        </w:rPr>
        <w:t>and</w:t>
      </w:r>
      <w:r w:rsidR="00FA6C92" w:rsidRPr="005A42C4">
        <w:rPr>
          <w:rFonts w:ascii="Cambria" w:hAnsi="Cambria"/>
          <w:lang w:val="en-GB"/>
        </w:rPr>
        <w:t xml:space="preserve"> FINREP).</w:t>
      </w:r>
      <w:r w:rsidR="00DC6577" w:rsidRPr="005A42C4">
        <w:rPr>
          <w:rFonts w:ascii="Cambria" w:hAnsi="Cambria"/>
          <w:lang w:val="en-GB"/>
        </w:rPr>
        <w:t xml:space="preserve"> </w:t>
      </w:r>
      <w:r w:rsidRPr="005A42C4">
        <w:rPr>
          <w:rFonts w:ascii="Cambria" w:hAnsi="Cambria"/>
          <w:lang w:val="en-GB"/>
        </w:rPr>
        <w:t>Nevertheless</w:t>
      </w:r>
      <w:r w:rsidR="00193611" w:rsidRPr="005A42C4">
        <w:rPr>
          <w:rFonts w:ascii="Cambria" w:hAnsi="Cambria"/>
          <w:lang w:val="en-GB"/>
        </w:rPr>
        <w:t xml:space="preserve">, </w:t>
      </w:r>
      <w:r w:rsidR="00C41AF9" w:rsidRPr="005A42C4">
        <w:rPr>
          <w:rFonts w:ascii="Cambria" w:hAnsi="Cambria"/>
          <w:lang w:val="en-GB"/>
        </w:rPr>
        <w:t xml:space="preserve">the </w:t>
      </w:r>
      <w:r w:rsidR="00193611" w:rsidRPr="005A42C4">
        <w:rPr>
          <w:rFonts w:ascii="Cambria" w:hAnsi="Cambria"/>
          <w:lang w:val="en-GB"/>
        </w:rPr>
        <w:t xml:space="preserve">consolidation </w:t>
      </w:r>
      <w:r w:rsidR="00457224" w:rsidRPr="005A42C4">
        <w:rPr>
          <w:rFonts w:ascii="Cambria" w:hAnsi="Cambria"/>
          <w:lang w:val="en-GB"/>
        </w:rPr>
        <w:t xml:space="preserve">and sub-consolidation </w:t>
      </w:r>
      <w:r w:rsidR="00193611" w:rsidRPr="005A42C4">
        <w:rPr>
          <w:rFonts w:ascii="Cambria" w:hAnsi="Cambria"/>
          <w:lang w:val="en-GB"/>
        </w:rPr>
        <w:t>perimeters can</w:t>
      </w:r>
      <w:r w:rsidR="00C41AF9" w:rsidRPr="005A42C4">
        <w:rPr>
          <w:rFonts w:ascii="Cambria" w:hAnsi="Cambria"/>
          <w:lang w:val="en-GB"/>
        </w:rPr>
        <w:t xml:space="preserve"> depart from the prudential requirements</w:t>
      </w:r>
      <w:r w:rsidR="00193611" w:rsidRPr="005A42C4">
        <w:rPr>
          <w:rFonts w:ascii="Cambria" w:hAnsi="Cambria"/>
          <w:lang w:val="en-GB"/>
        </w:rPr>
        <w:t xml:space="preserve"> to suit the needs of resolution </w:t>
      </w:r>
      <w:r w:rsidR="00C41AF9" w:rsidRPr="005A42C4">
        <w:rPr>
          <w:rFonts w:ascii="Cambria" w:hAnsi="Cambria"/>
          <w:lang w:val="en-GB"/>
        </w:rPr>
        <w:t>planning</w:t>
      </w:r>
      <w:r w:rsidRPr="005A42C4">
        <w:rPr>
          <w:rFonts w:ascii="Cambria" w:hAnsi="Cambria"/>
          <w:lang w:val="en-GB"/>
        </w:rPr>
        <w:t xml:space="preserve"> if necessary</w:t>
      </w:r>
      <w:r w:rsidR="00C41AF9" w:rsidRPr="005A42C4">
        <w:rPr>
          <w:rFonts w:ascii="Cambria" w:hAnsi="Cambria"/>
          <w:lang w:val="en-GB"/>
        </w:rPr>
        <w:t xml:space="preserve">. In </w:t>
      </w:r>
      <w:r w:rsidR="00C27B7D" w:rsidRPr="005A42C4">
        <w:rPr>
          <w:rFonts w:ascii="Cambria" w:hAnsi="Cambria"/>
          <w:lang w:val="en-GB"/>
        </w:rPr>
        <w:t>such</w:t>
      </w:r>
      <w:r w:rsidR="00C41AF9" w:rsidRPr="005A42C4">
        <w:rPr>
          <w:rFonts w:ascii="Cambria" w:hAnsi="Cambria"/>
          <w:lang w:val="en-GB"/>
        </w:rPr>
        <w:t xml:space="preserve"> case, the IRTs </w:t>
      </w:r>
      <w:r w:rsidR="00C27B7D" w:rsidRPr="005A42C4">
        <w:rPr>
          <w:rFonts w:ascii="Cambria" w:hAnsi="Cambria"/>
          <w:lang w:val="en-GB"/>
        </w:rPr>
        <w:t xml:space="preserve">will </w:t>
      </w:r>
      <w:r w:rsidR="00C41AF9" w:rsidRPr="005A42C4">
        <w:rPr>
          <w:rFonts w:ascii="Cambria" w:hAnsi="Cambria"/>
          <w:lang w:val="en-GB"/>
        </w:rPr>
        <w:t>set a specific scope of consolidation for resolution purposes (</w:t>
      </w:r>
      <w:r w:rsidR="00C27B7D" w:rsidRPr="005A42C4">
        <w:rPr>
          <w:rFonts w:ascii="Cambria" w:hAnsi="Cambria"/>
          <w:lang w:val="en-GB"/>
        </w:rPr>
        <w:t>a</w:t>
      </w:r>
      <w:r w:rsidR="00C41AF9" w:rsidRPr="005A42C4">
        <w:rPr>
          <w:rFonts w:ascii="Cambria" w:hAnsi="Cambria"/>
          <w:lang w:val="en-GB"/>
        </w:rPr>
        <w:t xml:space="preserve"> “</w:t>
      </w:r>
      <w:r w:rsidR="00C27B7D" w:rsidRPr="005A42C4">
        <w:rPr>
          <w:rFonts w:ascii="Cambria" w:hAnsi="Cambria"/>
          <w:lang w:val="en-GB"/>
        </w:rPr>
        <w:t>r</w:t>
      </w:r>
      <w:r w:rsidR="00501324" w:rsidRPr="005A42C4">
        <w:rPr>
          <w:rFonts w:ascii="Cambria" w:hAnsi="Cambria"/>
          <w:lang w:val="en-GB"/>
        </w:rPr>
        <w:t>esolution group</w:t>
      </w:r>
      <w:r w:rsidR="00C41AF9" w:rsidRPr="005A42C4">
        <w:rPr>
          <w:rFonts w:ascii="Cambria" w:hAnsi="Cambria"/>
          <w:lang w:val="en-GB"/>
        </w:rPr>
        <w:t>”)</w:t>
      </w:r>
      <w:r w:rsidRPr="005A42C4">
        <w:rPr>
          <w:rFonts w:ascii="Cambria" w:hAnsi="Cambria"/>
          <w:lang w:val="en-GB"/>
        </w:rPr>
        <w:t xml:space="preserve"> </w:t>
      </w:r>
      <w:r w:rsidR="00193611" w:rsidRPr="005A42C4">
        <w:rPr>
          <w:rFonts w:ascii="Cambria" w:hAnsi="Cambria"/>
          <w:lang w:val="en-GB"/>
        </w:rPr>
        <w:t>as identified in the resolution planning phase.</w:t>
      </w:r>
      <w:r w:rsidR="002157C7" w:rsidRPr="005A42C4">
        <w:rPr>
          <w:rFonts w:ascii="Cambria" w:hAnsi="Cambria"/>
          <w:lang w:val="en-GB"/>
        </w:rPr>
        <w:t xml:space="preserve"> However, the definition of such a resolution group does not necessarily exempt the group to submit data on the prudential scope of consolidation.</w:t>
      </w:r>
    </w:p>
    <w:p w14:paraId="5FADCCB0" w14:textId="77777777" w:rsidR="00193611" w:rsidRPr="005A42C4" w:rsidRDefault="00563FF6" w:rsidP="009474F1">
      <w:pPr>
        <w:rPr>
          <w:rFonts w:ascii="Cambria" w:hAnsi="Cambria"/>
          <w:lang w:val="en-GB"/>
        </w:rPr>
      </w:pPr>
      <w:r w:rsidRPr="005A42C4">
        <w:rPr>
          <w:rFonts w:ascii="Cambria" w:hAnsi="Cambria"/>
          <w:lang w:val="en-GB"/>
        </w:rPr>
        <w:t>T</w:t>
      </w:r>
      <w:r w:rsidR="00193611" w:rsidRPr="005A42C4">
        <w:rPr>
          <w:rFonts w:ascii="Cambria" w:hAnsi="Cambria"/>
          <w:lang w:val="en-GB"/>
        </w:rPr>
        <w:t>he resolution planning process will identify the point</w:t>
      </w:r>
      <w:r w:rsidR="00DC6577" w:rsidRPr="005A42C4">
        <w:rPr>
          <w:rFonts w:ascii="Cambria" w:hAnsi="Cambria"/>
          <w:lang w:val="en-GB"/>
        </w:rPr>
        <w:t>(</w:t>
      </w:r>
      <w:r w:rsidR="00193611" w:rsidRPr="005A42C4">
        <w:rPr>
          <w:rFonts w:ascii="Cambria" w:hAnsi="Cambria"/>
          <w:lang w:val="en-GB"/>
        </w:rPr>
        <w:t>s</w:t>
      </w:r>
      <w:r w:rsidR="00DC6577" w:rsidRPr="005A42C4">
        <w:rPr>
          <w:rFonts w:ascii="Cambria" w:hAnsi="Cambria"/>
          <w:lang w:val="en-GB"/>
        </w:rPr>
        <w:t>)</w:t>
      </w:r>
      <w:r w:rsidR="00193611" w:rsidRPr="005A42C4">
        <w:rPr>
          <w:rFonts w:ascii="Cambria" w:hAnsi="Cambria"/>
          <w:lang w:val="en-GB"/>
        </w:rPr>
        <w:t xml:space="preserve"> of entry in the preferred resolution strategy</w:t>
      </w:r>
      <w:r w:rsidR="000F52BB" w:rsidRPr="005A42C4">
        <w:rPr>
          <w:rFonts w:ascii="Cambria" w:hAnsi="Cambria"/>
          <w:lang w:val="en-GB"/>
        </w:rPr>
        <w:t xml:space="preserve"> (PRS)</w:t>
      </w:r>
      <w:r w:rsidR="00193611" w:rsidRPr="005A42C4">
        <w:rPr>
          <w:rFonts w:ascii="Cambria" w:hAnsi="Cambria"/>
          <w:lang w:val="en-GB"/>
        </w:rPr>
        <w:t xml:space="preserve"> and</w:t>
      </w:r>
      <w:r w:rsidR="00B71D0E" w:rsidRPr="005A42C4">
        <w:rPr>
          <w:rFonts w:ascii="Cambria" w:hAnsi="Cambria"/>
          <w:lang w:val="en-GB"/>
        </w:rPr>
        <w:t>,</w:t>
      </w:r>
      <w:r w:rsidR="00193611" w:rsidRPr="005A42C4">
        <w:rPr>
          <w:rFonts w:ascii="Cambria" w:hAnsi="Cambria"/>
          <w:lang w:val="en-GB"/>
        </w:rPr>
        <w:t xml:space="preserve"> as the case may be, point</w:t>
      </w:r>
      <w:r w:rsidR="00DC6577" w:rsidRPr="005A42C4">
        <w:rPr>
          <w:rFonts w:ascii="Cambria" w:hAnsi="Cambria"/>
          <w:lang w:val="en-GB"/>
        </w:rPr>
        <w:t>(</w:t>
      </w:r>
      <w:r w:rsidR="00193611" w:rsidRPr="005A42C4">
        <w:rPr>
          <w:rFonts w:ascii="Cambria" w:hAnsi="Cambria"/>
          <w:lang w:val="en-GB"/>
        </w:rPr>
        <w:t>s</w:t>
      </w:r>
      <w:r w:rsidR="00DC6577" w:rsidRPr="005A42C4">
        <w:rPr>
          <w:rFonts w:ascii="Cambria" w:hAnsi="Cambria"/>
          <w:lang w:val="en-GB"/>
        </w:rPr>
        <w:t>)</w:t>
      </w:r>
      <w:r w:rsidR="00193611" w:rsidRPr="005A42C4">
        <w:rPr>
          <w:rFonts w:ascii="Cambria" w:hAnsi="Cambria"/>
          <w:lang w:val="en-GB"/>
        </w:rPr>
        <w:t xml:space="preserve"> of entry in </w:t>
      </w:r>
      <w:r w:rsidR="00B71D0E" w:rsidRPr="005A42C4">
        <w:rPr>
          <w:rFonts w:ascii="Cambria" w:hAnsi="Cambria"/>
          <w:lang w:val="en-GB"/>
        </w:rPr>
        <w:t>alternative</w:t>
      </w:r>
      <w:r w:rsidR="00193611" w:rsidRPr="005A42C4">
        <w:rPr>
          <w:rFonts w:ascii="Cambria" w:hAnsi="Cambria"/>
          <w:lang w:val="en-GB"/>
        </w:rPr>
        <w:t xml:space="preserve"> strategies</w:t>
      </w:r>
      <w:r w:rsidR="00501324" w:rsidRPr="005A42C4">
        <w:rPr>
          <w:rFonts w:ascii="Cambria" w:hAnsi="Cambria"/>
          <w:lang w:val="en-GB"/>
        </w:rPr>
        <w:t xml:space="preserve">. Once the point(s) of entry </w:t>
      </w:r>
      <w:r w:rsidR="00DC6577" w:rsidRPr="005A42C4">
        <w:rPr>
          <w:rFonts w:ascii="Cambria" w:hAnsi="Cambria"/>
          <w:lang w:val="en-GB"/>
        </w:rPr>
        <w:t>is</w:t>
      </w:r>
      <w:r w:rsidR="00B71D0E" w:rsidRPr="005A42C4">
        <w:rPr>
          <w:rFonts w:ascii="Cambria" w:hAnsi="Cambria"/>
          <w:lang w:val="en-GB"/>
        </w:rPr>
        <w:t>/are</w:t>
      </w:r>
      <w:r w:rsidR="00DC6577" w:rsidRPr="005A42C4">
        <w:rPr>
          <w:rFonts w:ascii="Cambria" w:hAnsi="Cambria"/>
          <w:lang w:val="en-GB"/>
        </w:rPr>
        <w:t xml:space="preserve"> </w:t>
      </w:r>
      <w:r w:rsidR="00501324" w:rsidRPr="005A42C4">
        <w:rPr>
          <w:rFonts w:ascii="Cambria" w:hAnsi="Cambria"/>
          <w:lang w:val="en-GB"/>
        </w:rPr>
        <w:t>identified</w:t>
      </w:r>
      <w:r w:rsidRPr="005A42C4">
        <w:rPr>
          <w:rFonts w:ascii="Cambria" w:hAnsi="Cambria"/>
          <w:lang w:val="en-GB"/>
        </w:rPr>
        <w:t xml:space="preserve">, the reporting requirements </w:t>
      </w:r>
      <w:r w:rsidR="00501324" w:rsidRPr="005A42C4">
        <w:rPr>
          <w:rFonts w:ascii="Cambria" w:hAnsi="Cambria"/>
          <w:lang w:val="en-GB"/>
        </w:rPr>
        <w:t xml:space="preserve">are set </w:t>
      </w:r>
      <w:r w:rsidR="00C27B7D" w:rsidRPr="005A42C4">
        <w:rPr>
          <w:rFonts w:ascii="Cambria" w:hAnsi="Cambria"/>
          <w:lang w:val="en-GB"/>
        </w:rPr>
        <w:t>in accordance</w:t>
      </w:r>
      <w:r w:rsidR="001B5009" w:rsidRPr="005A42C4">
        <w:rPr>
          <w:rFonts w:ascii="Cambria" w:hAnsi="Cambria"/>
          <w:lang w:val="en-GB"/>
        </w:rPr>
        <w:t xml:space="preserve"> with the </w:t>
      </w:r>
      <w:r w:rsidR="00C27B7D" w:rsidRPr="005A42C4">
        <w:rPr>
          <w:rFonts w:ascii="Cambria" w:hAnsi="Cambria"/>
          <w:lang w:val="en-GB"/>
        </w:rPr>
        <w:t xml:space="preserve">table </w:t>
      </w:r>
      <w:r w:rsidR="001B5009" w:rsidRPr="005A42C4">
        <w:rPr>
          <w:rFonts w:ascii="Cambria" w:hAnsi="Cambria"/>
          <w:lang w:val="en-GB"/>
        </w:rPr>
        <w:t>below</w:t>
      </w:r>
      <w:r w:rsidR="00193611" w:rsidRPr="005A42C4">
        <w:rPr>
          <w:rFonts w:ascii="Cambria" w:hAnsi="Cambria"/>
          <w:lang w:val="en-GB"/>
        </w:rPr>
        <w:t>.</w:t>
      </w:r>
    </w:p>
    <w:p w14:paraId="2992698F" w14:textId="77777777" w:rsidR="00563FF6" w:rsidRPr="005A42C4" w:rsidRDefault="00563FF6" w:rsidP="009474F1">
      <w:pPr>
        <w:rPr>
          <w:rFonts w:ascii="Cambria" w:hAnsi="Cambria"/>
          <w:lang w:val="en-GB"/>
        </w:rPr>
      </w:pPr>
    </w:p>
    <w:p w14:paraId="70E862D2" w14:textId="77777777" w:rsidR="00193611" w:rsidRPr="005A42C4" w:rsidRDefault="00DC6577" w:rsidP="009474F1">
      <w:pPr>
        <w:rPr>
          <w:rFonts w:ascii="Cambria" w:hAnsi="Cambria"/>
          <w:lang w:val="en-GB"/>
        </w:rPr>
      </w:pPr>
      <w:r w:rsidRPr="005A42C4">
        <w:rPr>
          <w:rFonts w:ascii="Cambria" w:hAnsi="Cambria"/>
          <w:lang w:val="en-GB"/>
        </w:rPr>
        <w:t>T</w:t>
      </w:r>
      <w:r w:rsidR="00491E04" w:rsidRPr="005A42C4">
        <w:rPr>
          <w:rFonts w:ascii="Cambria" w:hAnsi="Cambria"/>
          <w:lang w:val="en-GB"/>
        </w:rPr>
        <w:t>he definition of both resolution groups and point(s) of entry will be determined by the Internal Resolution Teams (IRT) responsible for each of the groups/entities under SRB remit.</w:t>
      </w:r>
      <w:r w:rsidR="005959E1" w:rsidRPr="005A42C4">
        <w:rPr>
          <w:rFonts w:ascii="Cambria" w:hAnsi="Cambria"/>
          <w:lang w:val="en-GB"/>
        </w:rPr>
        <w:t xml:space="preserve"> It is expected that the scope of this report as identified by the IRT w</w:t>
      </w:r>
      <w:r w:rsidR="00B71D0E" w:rsidRPr="005A42C4">
        <w:rPr>
          <w:rFonts w:ascii="Cambria" w:hAnsi="Cambria"/>
          <w:lang w:val="en-GB"/>
        </w:rPr>
        <w:t>ill</w:t>
      </w:r>
      <w:r w:rsidR="005959E1" w:rsidRPr="005A42C4">
        <w:rPr>
          <w:rFonts w:ascii="Cambria" w:hAnsi="Cambria"/>
          <w:lang w:val="en-GB"/>
        </w:rPr>
        <w:t xml:space="preserve"> remain stable over time. Changes would mainly result from, without being limited to, material changes within groups</w:t>
      </w:r>
      <w:r w:rsidR="00501324" w:rsidRPr="005A42C4">
        <w:rPr>
          <w:rFonts w:ascii="Cambria" w:hAnsi="Cambria"/>
          <w:lang w:val="en-GB"/>
        </w:rPr>
        <w:t xml:space="preserve"> and further assessment on the critical functions</w:t>
      </w:r>
      <w:r w:rsidR="00C90753" w:rsidRPr="005A42C4">
        <w:rPr>
          <w:rFonts w:ascii="Cambria" w:hAnsi="Cambria"/>
          <w:lang w:val="en-GB"/>
        </w:rPr>
        <w:t xml:space="preserve"> and/or the resolution strategy</w:t>
      </w:r>
      <w:r w:rsidR="000A75CF" w:rsidRPr="005A42C4">
        <w:rPr>
          <w:rFonts w:ascii="Cambria" w:hAnsi="Cambria"/>
          <w:lang w:val="en-GB"/>
        </w:rPr>
        <w:t>, changes in the legal framework and policy decisions</w:t>
      </w:r>
      <w:r w:rsidR="00C90753" w:rsidRPr="005A42C4">
        <w:rPr>
          <w:rFonts w:ascii="Cambria" w:hAnsi="Cambria"/>
          <w:lang w:val="en-GB"/>
        </w:rPr>
        <w:t>, etc</w:t>
      </w:r>
      <w:r w:rsidR="005959E1" w:rsidRPr="005A42C4">
        <w:rPr>
          <w:rFonts w:ascii="Cambria" w:hAnsi="Cambria"/>
          <w:lang w:val="en-GB"/>
        </w:rPr>
        <w:t>.</w:t>
      </w:r>
    </w:p>
    <w:p w14:paraId="1E240442" w14:textId="77777777" w:rsidR="00804479" w:rsidRPr="005A42C4" w:rsidRDefault="00804479" w:rsidP="00804479">
      <w:pPr>
        <w:rPr>
          <w:rFonts w:ascii="Cambria" w:hAnsi="Cambria"/>
          <w:lang w:val="en-GB"/>
        </w:rPr>
      </w:pPr>
      <w:r w:rsidRPr="005A42C4">
        <w:rPr>
          <w:rFonts w:ascii="Cambria" w:hAnsi="Cambria"/>
          <w:lang w:val="en-GB"/>
        </w:rPr>
        <w:t xml:space="preserve">With regard to the responsibilities of the SRB and NRA within the SRMR, the scope is determined </w:t>
      </w:r>
      <w:r w:rsidR="00C27B7D" w:rsidRPr="005A42C4">
        <w:rPr>
          <w:rFonts w:ascii="Cambria" w:hAnsi="Cambria"/>
          <w:lang w:val="en-GB"/>
        </w:rPr>
        <w:t>for</w:t>
      </w:r>
      <w:r w:rsidRPr="005A42C4">
        <w:rPr>
          <w:rFonts w:ascii="Cambria" w:hAnsi="Cambria"/>
          <w:lang w:val="en-GB"/>
        </w:rPr>
        <w:t xml:space="preserve"> significant institutions and cross-border less-significant institutions. While other less-significant institutions are not covered, the SRB encourages the NRA to utilise the same format to collect the necessary liability information for resolution planning.</w:t>
      </w:r>
    </w:p>
    <w:p w14:paraId="66C41617" w14:textId="77777777" w:rsidR="00804479" w:rsidRPr="005A42C4" w:rsidRDefault="00804479" w:rsidP="009474F1">
      <w:pPr>
        <w:rPr>
          <w:rFonts w:ascii="Cambria" w:hAnsi="Cambria"/>
          <w:lang w:val="en-GB"/>
        </w:rPr>
      </w:pPr>
    </w:p>
    <w:p w14:paraId="0B906074" w14:textId="25E94E03" w:rsidR="00491E04" w:rsidRPr="005A42C4" w:rsidRDefault="00491E04" w:rsidP="009474F1">
      <w:pPr>
        <w:rPr>
          <w:rFonts w:ascii="Cambria" w:hAnsi="Cambria"/>
          <w:lang w:val="en-GB"/>
        </w:rPr>
      </w:pPr>
      <w:r w:rsidRPr="005A42C4">
        <w:rPr>
          <w:rFonts w:ascii="Cambria" w:hAnsi="Cambria"/>
          <w:lang w:val="en-GB"/>
        </w:rPr>
        <w:lastRenderedPageBreak/>
        <w:t xml:space="preserve">Based on the above </w:t>
      </w:r>
      <w:r w:rsidR="00CE7993" w:rsidRPr="005A42C4">
        <w:rPr>
          <w:rFonts w:ascii="Cambria" w:hAnsi="Cambria"/>
          <w:lang w:val="en-GB"/>
        </w:rPr>
        <w:t xml:space="preserve">general </w:t>
      </w:r>
      <w:r w:rsidRPr="005A42C4">
        <w:rPr>
          <w:rFonts w:ascii="Cambria" w:hAnsi="Cambria"/>
          <w:lang w:val="en-GB"/>
        </w:rPr>
        <w:t xml:space="preserve">guidelines, </w:t>
      </w:r>
      <w:r w:rsidR="00CE7993" w:rsidRPr="005A42C4">
        <w:rPr>
          <w:rFonts w:ascii="Cambria" w:hAnsi="Cambria"/>
          <w:lang w:val="en-GB"/>
        </w:rPr>
        <w:t xml:space="preserve">standard </w:t>
      </w:r>
      <w:r w:rsidRPr="005A42C4">
        <w:rPr>
          <w:rFonts w:ascii="Cambria" w:hAnsi="Cambria"/>
          <w:lang w:val="en-GB"/>
        </w:rPr>
        <w:t xml:space="preserve">reporting of data </w:t>
      </w:r>
      <w:r w:rsidR="00CE7993" w:rsidRPr="005A42C4">
        <w:rPr>
          <w:rFonts w:ascii="Cambria" w:hAnsi="Cambria"/>
          <w:lang w:val="en-GB"/>
        </w:rPr>
        <w:t>would be</w:t>
      </w:r>
      <w:r w:rsidRPr="005A42C4">
        <w:rPr>
          <w:rFonts w:ascii="Cambria" w:hAnsi="Cambria"/>
          <w:lang w:val="en-GB"/>
        </w:rPr>
        <w:t xml:space="preserve"> as presented in </w:t>
      </w:r>
      <w:r w:rsidR="00BA28B6" w:rsidRPr="005A42C4">
        <w:rPr>
          <w:rFonts w:ascii="Cambria" w:hAnsi="Cambria"/>
          <w:lang w:val="en-GB"/>
        </w:rPr>
        <w:t xml:space="preserve">the table </w:t>
      </w:r>
      <w:r w:rsidRPr="005A42C4">
        <w:rPr>
          <w:rFonts w:ascii="Cambria" w:hAnsi="Cambria"/>
          <w:lang w:val="en-GB"/>
        </w:rPr>
        <w:t xml:space="preserve">below </w:t>
      </w:r>
      <w:r w:rsidR="006C3667" w:rsidRPr="005A42C4">
        <w:rPr>
          <w:rFonts w:ascii="Cambria" w:hAnsi="Cambria"/>
          <w:lang w:val="en-GB"/>
        </w:rPr>
        <w:t xml:space="preserve">, where </w:t>
      </w:r>
      <w:r w:rsidR="00C15796" w:rsidRPr="005A42C4">
        <w:rPr>
          <w:rFonts w:ascii="Cambria" w:hAnsi="Cambria"/>
          <w:lang w:val="en-GB"/>
        </w:rPr>
        <w:t>reporting requirements are incremental</w:t>
      </w:r>
      <w:r w:rsidRPr="005A42C4">
        <w:rPr>
          <w:rFonts w:ascii="Cambria" w:hAnsi="Cambria"/>
          <w:lang w:val="en-GB"/>
        </w:rPr>
        <w:t>.</w:t>
      </w:r>
    </w:p>
    <w:p w14:paraId="3CD0EB6D" w14:textId="77777777" w:rsidR="005959E1" w:rsidRPr="005A42C4" w:rsidRDefault="005959E1">
      <w:pPr>
        <w:rPr>
          <w:rFonts w:ascii="Cambria" w:hAnsi="Cambria"/>
          <w:lang w:val="en-GB"/>
        </w:rPr>
      </w:pPr>
    </w:p>
    <w:tbl>
      <w:tblPr>
        <w:tblStyle w:val="TableGrid"/>
        <w:tblW w:w="10558" w:type="dxa"/>
        <w:jc w:val="center"/>
        <w:tblLayout w:type="fixed"/>
        <w:tblLook w:val="04A0" w:firstRow="1" w:lastRow="0" w:firstColumn="1" w:lastColumn="0" w:noHBand="0" w:noVBand="1"/>
      </w:tblPr>
      <w:tblGrid>
        <w:gridCol w:w="2855"/>
        <w:gridCol w:w="770"/>
        <w:gridCol w:w="770"/>
        <w:gridCol w:w="770"/>
        <w:gridCol w:w="770"/>
        <w:gridCol w:w="770"/>
        <w:gridCol w:w="770"/>
        <w:gridCol w:w="770"/>
        <w:gridCol w:w="771"/>
        <w:gridCol w:w="771"/>
        <w:gridCol w:w="771"/>
      </w:tblGrid>
      <w:tr w:rsidR="00096DB8" w:rsidRPr="00706844" w14:paraId="4730B96F" w14:textId="2DA93362" w:rsidTr="007D17EC">
        <w:trPr>
          <w:jc w:val="center"/>
        </w:trPr>
        <w:tc>
          <w:tcPr>
            <w:tcW w:w="2855" w:type="dxa"/>
            <w:tcBorders>
              <w:tl2br w:val="single" w:sz="4" w:space="0" w:color="auto"/>
            </w:tcBorders>
          </w:tcPr>
          <w:p w14:paraId="35E491A9" w14:textId="77777777" w:rsidR="00096DB8" w:rsidRPr="005A42C4" w:rsidRDefault="00096DB8" w:rsidP="00096DB8">
            <w:pPr>
              <w:jc w:val="right"/>
              <w:rPr>
                <w:rFonts w:ascii="Cambria" w:hAnsi="Cambria"/>
                <w:sz w:val="14"/>
                <w:szCs w:val="14"/>
                <w:lang w:val="en-GB"/>
              </w:rPr>
            </w:pPr>
            <w:r w:rsidRPr="005A42C4">
              <w:rPr>
                <w:rFonts w:ascii="Cambria" w:hAnsi="Cambria"/>
                <w:sz w:val="14"/>
                <w:szCs w:val="14"/>
                <w:lang w:val="en-GB"/>
              </w:rPr>
              <w:t>Tables to be reported</w:t>
            </w:r>
          </w:p>
          <w:p w14:paraId="1CB4CACD" w14:textId="77777777" w:rsidR="00096DB8" w:rsidRPr="005A42C4" w:rsidRDefault="00096DB8" w:rsidP="00096DB8">
            <w:pPr>
              <w:jc w:val="left"/>
              <w:rPr>
                <w:rFonts w:ascii="Cambria" w:hAnsi="Cambria"/>
                <w:sz w:val="14"/>
                <w:szCs w:val="14"/>
                <w:lang w:val="en-GB"/>
              </w:rPr>
            </w:pPr>
          </w:p>
          <w:p w14:paraId="5ED4DC1C" w14:textId="77777777" w:rsidR="00096DB8" w:rsidRPr="005A42C4" w:rsidRDefault="00096DB8" w:rsidP="00096DB8">
            <w:pPr>
              <w:jc w:val="left"/>
              <w:rPr>
                <w:rFonts w:ascii="Cambria" w:hAnsi="Cambria"/>
                <w:sz w:val="14"/>
                <w:szCs w:val="14"/>
                <w:lang w:val="en-GB"/>
              </w:rPr>
            </w:pPr>
            <w:r w:rsidRPr="005A42C4">
              <w:rPr>
                <w:rFonts w:ascii="Cambria" w:hAnsi="Cambria"/>
                <w:sz w:val="14"/>
                <w:szCs w:val="14"/>
                <w:lang w:val="en-GB"/>
              </w:rPr>
              <w:t>Reporting entity</w:t>
            </w:r>
          </w:p>
        </w:tc>
        <w:tc>
          <w:tcPr>
            <w:tcW w:w="770" w:type="dxa"/>
            <w:vAlign w:val="center"/>
          </w:tcPr>
          <w:p w14:paraId="270CFC82"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T01.00</w:t>
            </w:r>
          </w:p>
        </w:tc>
        <w:tc>
          <w:tcPr>
            <w:tcW w:w="770" w:type="dxa"/>
            <w:vAlign w:val="center"/>
          </w:tcPr>
          <w:p w14:paraId="383FD501"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T02.00</w:t>
            </w:r>
          </w:p>
        </w:tc>
        <w:tc>
          <w:tcPr>
            <w:tcW w:w="770" w:type="dxa"/>
            <w:vAlign w:val="center"/>
          </w:tcPr>
          <w:p w14:paraId="03DB4FAC"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T03.01</w:t>
            </w:r>
          </w:p>
          <w:p w14:paraId="0F8C37D4"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T03.02</w:t>
            </w:r>
          </w:p>
          <w:p w14:paraId="1146784A"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T03.03</w:t>
            </w:r>
          </w:p>
        </w:tc>
        <w:tc>
          <w:tcPr>
            <w:tcW w:w="770" w:type="dxa"/>
            <w:vAlign w:val="center"/>
          </w:tcPr>
          <w:p w14:paraId="5781722B"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T04.00</w:t>
            </w:r>
          </w:p>
        </w:tc>
        <w:tc>
          <w:tcPr>
            <w:tcW w:w="770" w:type="dxa"/>
            <w:vAlign w:val="center"/>
          </w:tcPr>
          <w:p w14:paraId="1C05B9CF" w14:textId="31998B32"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T05.0</w:t>
            </w:r>
            <w:r>
              <w:rPr>
                <w:rFonts w:ascii="Cambria" w:hAnsi="Cambria"/>
                <w:sz w:val="14"/>
                <w:szCs w:val="14"/>
                <w:lang w:val="en-GB"/>
              </w:rPr>
              <w:t>1</w:t>
            </w:r>
          </w:p>
        </w:tc>
        <w:tc>
          <w:tcPr>
            <w:tcW w:w="770" w:type="dxa"/>
            <w:vAlign w:val="center"/>
          </w:tcPr>
          <w:p w14:paraId="22B5FA0A" w14:textId="6A7DB7E8"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T06.0</w:t>
            </w:r>
            <w:r>
              <w:rPr>
                <w:rFonts w:ascii="Cambria" w:hAnsi="Cambria"/>
                <w:sz w:val="14"/>
                <w:szCs w:val="14"/>
                <w:lang w:val="en-GB"/>
              </w:rPr>
              <w:t>1</w:t>
            </w:r>
          </w:p>
        </w:tc>
        <w:tc>
          <w:tcPr>
            <w:tcW w:w="770" w:type="dxa"/>
            <w:vAlign w:val="center"/>
          </w:tcPr>
          <w:p w14:paraId="3A46222E"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T07.00</w:t>
            </w:r>
          </w:p>
        </w:tc>
        <w:tc>
          <w:tcPr>
            <w:tcW w:w="771" w:type="dxa"/>
            <w:vAlign w:val="center"/>
          </w:tcPr>
          <w:p w14:paraId="2F9A22AB"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T08.00</w:t>
            </w:r>
          </w:p>
        </w:tc>
        <w:tc>
          <w:tcPr>
            <w:tcW w:w="771" w:type="dxa"/>
            <w:vAlign w:val="center"/>
          </w:tcPr>
          <w:p w14:paraId="4EE08C0A" w14:textId="614F07D2" w:rsidR="00096DB8" w:rsidRPr="005A42C4" w:rsidRDefault="00096DB8" w:rsidP="007D17EC">
            <w:pPr>
              <w:rPr>
                <w:rFonts w:ascii="Cambria" w:hAnsi="Cambria"/>
                <w:sz w:val="14"/>
                <w:szCs w:val="14"/>
                <w:lang w:val="en-GB"/>
              </w:rPr>
            </w:pPr>
            <w:r w:rsidRPr="005A42C4">
              <w:rPr>
                <w:rFonts w:ascii="Cambria" w:hAnsi="Cambria"/>
                <w:sz w:val="14"/>
                <w:szCs w:val="14"/>
                <w:lang w:val="en-GB"/>
              </w:rPr>
              <w:t>T0</w:t>
            </w:r>
            <w:r>
              <w:rPr>
                <w:rFonts w:ascii="Cambria" w:hAnsi="Cambria"/>
                <w:sz w:val="14"/>
                <w:szCs w:val="14"/>
                <w:lang w:val="en-GB"/>
              </w:rPr>
              <w:t>9</w:t>
            </w:r>
            <w:r w:rsidRPr="005A42C4">
              <w:rPr>
                <w:rFonts w:ascii="Cambria" w:hAnsi="Cambria"/>
                <w:sz w:val="14"/>
                <w:szCs w:val="14"/>
                <w:lang w:val="en-GB"/>
              </w:rPr>
              <w:t>.00</w:t>
            </w:r>
          </w:p>
        </w:tc>
        <w:tc>
          <w:tcPr>
            <w:tcW w:w="771" w:type="dxa"/>
            <w:vAlign w:val="center"/>
          </w:tcPr>
          <w:p w14:paraId="4F250833" w14:textId="7334E0B4" w:rsidR="00096DB8" w:rsidRDefault="00096DB8" w:rsidP="007D17EC">
            <w:pPr>
              <w:rPr>
                <w:rFonts w:ascii="Cambria" w:hAnsi="Cambria"/>
                <w:sz w:val="14"/>
                <w:szCs w:val="14"/>
                <w:lang w:val="en-GB"/>
              </w:rPr>
            </w:pPr>
            <w:r w:rsidRPr="005A42C4">
              <w:rPr>
                <w:rFonts w:ascii="Cambria" w:hAnsi="Cambria"/>
                <w:sz w:val="14"/>
                <w:szCs w:val="14"/>
                <w:lang w:val="en-GB"/>
              </w:rPr>
              <w:t>T</w:t>
            </w:r>
            <w:r>
              <w:rPr>
                <w:rFonts w:ascii="Cambria" w:hAnsi="Cambria"/>
                <w:sz w:val="14"/>
                <w:szCs w:val="14"/>
                <w:lang w:val="en-GB"/>
              </w:rPr>
              <w:t>12</w:t>
            </w:r>
            <w:r w:rsidRPr="005A42C4">
              <w:rPr>
                <w:rFonts w:ascii="Cambria" w:hAnsi="Cambria"/>
                <w:sz w:val="14"/>
                <w:szCs w:val="14"/>
                <w:lang w:val="en-GB"/>
              </w:rPr>
              <w:t>.00</w:t>
            </w:r>
          </w:p>
        </w:tc>
      </w:tr>
      <w:tr w:rsidR="00096DB8" w:rsidRPr="00706844" w14:paraId="67EBA88F" w14:textId="45175F81" w:rsidTr="007D17EC">
        <w:trPr>
          <w:jc w:val="center"/>
        </w:trPr>
        <w:tc>
          <w:tcPr>
            <w:tcW w:w="2855" w:type="dxa"/>
          </w:tcPr>
          <w:p w14:paraId="3346C3D2" w14:textId="77777777" w:rsidR="00096DB8" w:rsidRPr="005A42C4" w:rsidRDefault="00096DB8" w:rsidP="00096DB8">
            <w:pPr>
              <w:rPr>
                <w:rFonts w:ascii="Cambria" w:hAnsi="Cambria"/>
                <w:sz w:val="14"/>
                <w:szCs w:val="14"/>
                <w:lang w:val="en-GB"/>
              </w:rPr>
            </w:pPr>
            <w:r w:rsidRPr="005A42C4">
              <w:rPr>
                <w:rFonts w:ascii="Cambria" w:hAnsi="Cambria"/>
                <w:sz w:val="14"/>
                <w:szCs w:val="14"/>
                <w:lang w:val="en-GB"/>
              </w:rPr>
              <w:t>All RLE within BRRD/SRMR scope</w:t>
            </w:r>
          </w:p>
        </w:tc>
        <w:tc>
          <w:tcPr>
            <w:tcW w:w="770" w:type="dxa"/>
            <w:vAlign w:val="center"/>
          </w:tcPr>
          <w:p w14:paraId="3CD329BA"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0BF4A7A1"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43CF83E9"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0B0452DF"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0" w:type="dxa"/>
            <w:vAlign w:val="center"/>
          </w:tcPr>
          <w:p w14:paraId="3FEBE497"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0" w:type="dxa"/>
            <w:vAlign w:val="center"/>
          </w:tcPr>
          <w:p w14:paraId="57AD5BCE"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0" w:type="dxa"/>
            <w:vAlign w:val="center"/>
          </w:tcPr>
          <w:p w14:paraId="30A7DDB5"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1" w:type="dxa"/>
            <w:vAlign w:val="center"/>
          </w:tcPr>
          <w:p w14:paraId="32F12380"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1" w:type="dxa"/>
            <w:vAlign w:val="center"/>
          </w:tcPr>
          <w:p w14:paraId="41B53776" w14:textId="460012CB"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1" w:type="dxa"/>
            <w:vAlign w:val="center"/>
          </w:tcPr>
          <w:p w14:paraId="2CB7A783" w14:textId="33B8EBA8" w:rsidR="00096DB8" w:rsidRDefault="00537372" w:rsidP="00096DB8">
            <w:pPr>
              <w:jc w:val="center"/>
              <w:rPr>
                <w:rFonts w:ascii="Cambria" w:hAnsi="Cambria"/>
                <w:sz w:val="14"/>
                <w:szCs w:val="14"/>
                <w:lang w:val="en-GB"/>
              </w:rPr>
            </w:pPr>
            <w:r>
              <w:rPr>
                <w:rFonts w:ascii="Cambria" w:hAnsi="Cambria"/>
                <w:sz w:val="14"/>
                <w:szCs w:val="14"/>
                <w:lang w:val="en-GB"/>
              </w:rPr>
              <w:t>I</w:t>
            </w:r>
          </w:p>
        </w:tc>
      </w:tr>
      <w:tr w:rsidR="00096DB8" w:rsidRPr="00706844" w14:paraId="02A2A8A8" w14:textId="5F69B88A" w:rsidTr="007D17EC">
        <w:tblPrEx>
          <w:jc w:val="left"/>
        </w:tblPrEx>
        <w:tc>
          <w:tcPr>
            <w:tcW w:w="2855" w:type="dxa"/>
          </w:tcPr>
          <w:p w14:paraId="56AE6597" w14:textId="77777777" w:rsidR="00096DB8" w:rsidRPr="005A42C4" w:rsidRDefault="00096DB8" w:rsidP="00096DB8">
            <w:pPr>
              <w:rPr>
                <w:rFonts w:ascii="Cambria" w:hAnsi="Cambria"/>
                <w:sz w:val="14"/>
                <w:szCs w:val="14"/>
                <w:lang w:val="en-GB"/>
              </w:rPr>
            </w:pPr>
            <w:r w:rsidRPr="005A42C4">
              <w:rPr>
                <w:rFonts w:ascii="Cambria" w:hAnsi="Cambria"/>
                <w:sz w:val="14"/>
                <w:szCs w:val="14"/>
                <w:lang w:val="en-GB"/>
              </w:rPr>
              <w:t>Group consolidation (prudential scope)</w:t>
            </w:r>
          </w:p>
        </w:tc>
        <w:tc>
          <w:tcPr>
            <w:tcW w:w="770" w:type="dxa"/>
          </w:tcPr>
          <w:p w14:paraId="7B7C446B"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C</w:t>
            </w:r>
          </w:p>
        </w:tc>
        <w:tc>
          <w:tcPr>
            <w:tcW w:w="770" w:type="dxa"/>
          </w:tcPr>
          <w:p w14:paraId="6959B2A8"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C</w:t>
            </w:r>
          </w:p>
        </w:tc>
        <w:tc>
          <w:tcPr>
            <w:tcW w:w="770" w:type="dxa"/>
          </w:tcPr>
          <w:p w14:paraId="3127C58D"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C</w:t>
            </w:r>
          </w:p>
        </w:tc>
        <w:tc>
          <w:tcPr>
            <w:tcW w:w="770" w:type="dxa"/>
          </w:tcPr>
          <w:p w14:paraId="5DD288FD" w14:textId="77777777" w:rsidR="00096DB8" w:rsidRPr="005A42C4" w:rsidRDefault="00096DB8" w:rsidP="00096DB8">
            <w:pPr>
              <w:jc w:val="center"/>
              <w:rPr>
                <w:rFonts w:ascii="Cambria" w:hAnsi="Cambria"/>
                <w:sz w:val="14"/>
                <w:szCs w:val="14"/>
                <w:lang w:val="en-GB"/>
              </w:rPr>
            </w:pPr>
          </w:p>
        </w:tc>
        <w:tc>
          <w:tcPr>
            <w:tcW w:w="770" w:type="dxa"/>
          </w:tcPr>
          <w:p w14:paraId="70DE38C9" w14:textId="77777777" w:rsidR="00096DB8" w:rsidRPr="005A42C4" w:rsidRDefault="00096DB8" w:rsidP="00096DB8">
            <w:pPr>
              <w:jc w:val="center"/>
              <w:rPr>
                <w:rFonts w:ascii="Cambria" w:hAnsi="Cambria"/>
                <w:sz w:val="14"/>
                <w:szCs w:val="14"/>
                <w:lang w:val="en-GB"/>
              </w:rPr>
            </w:pPr>
          </w:p>
        </w:tc>
        <w:tc>
          <w:tcPr>
            <w:tcW w:w="770" w:type="dxa"/>
          </w:tcPr>
          <w:p w14:paraId="18355FEC" w14:textId="77777777" w:rsidR="00096DB8" w:rsidRPr="005A42C4" w:rsidRDefault="00096DB8" w:rsidP="00096DB8">
            <w:pPr>
              <w:jc w:val="center"/>
              <w:rPr>
                <w:rFonts w:ascii="Cambria" w:hAnsi="Cambria"/>
                <w:sz w:val="14"/>
                <w:szCs w:val="14"/>
                <w:lang w:val="en-GB"/>
              </w:rPr>
            </w:pPr>
          </w:p>
        </w:tc>
        <w:tc>
          <w:tcPr>
            <w:tcW w:w="770" w:type="dxa"/>
          </w:tcPr>
          <w:p w14:paraId="52AD9F99" w14:textId="77777777" w:rsidR="00096DB8" w:rsidRPr="005A42C4" w:rsidRDefault="00096DB8" w:rsidP="00096DB8">
            <w:pPr>
              <w:jc w:val="center"/>
              <w:rPr>
                <w:rFonts w:ascii="Cambria" w:hAnsi="Cambria"/>
                <w:sz w:val="14"/>
                <w:szCs w:val="14"/>
                <w:lang w:val="en-GB"/>
              </w:rPr>
            </w:pPr>
          </w:p>
        </w:tc>
        <w:tc>
          <w:tcPr>
            <w:tcW w:w="771" w:type="dxa"/>
          </w:tcPr>
          <w:p w14:paraId="69D099A1" w14:textId="77777777" w:rsidR="00096DB8" w:rsidRPr="005A42C4" w:rsidRDefault="00096DB8" w:rsidP="00096DB8">
            <w:pPr>
              <w:jc w:val="center"/>
              <w:rPr>
                <w:rFonts w:ascii="Cambria" w:hAnsi="Cambria"/>
                <w:sz w:val="14"/>
                <w:szCs w:val="14"/>
                <w:lang w:val="en-GB"/>
              </w:rPr>
            </w:pPr>
          </w:p>
        </w:tc>
        <w:tc>
          <w:tcPr>
            <w:tcW w:w="771" w:type="dxa"/>
          </w:tcPr>
          <w:p w14:paraId="014DE92E" w14:textId="155977B6" w:rsidR="00096DB8" w:rsidRPr="005A42C4" w:rsidRDefault="00096DB8" w:rsidP="00096DB8">
            <w:pPr>
              <w:jc w:val="center"/>
              <w:rPr>
                <w:rFonts w:ascii="Cambria" w:hAnsi="Cambria"/>
                <w:sz w:val="14"/>
                <w:szCs w:val="14"/>
                <w:lang w:val="en-GB"/>
              </w:rPr>
            </w:pPr>
          </w:p>
        </w:tc>
        <w:tc>
          <w:tcPr>
            <w:tcW w:w="771" w:type="dxa"/>
          </w:tcPr>
          <w:p w14:paraId="75D96477" w14:textId="5B8262DE" w:rsidR="00096DB8" w:rsidRDefault="00537372" w:rsidP="00096DB8">
            <w:pPr>
              <w:jc w:val="center"/>
              <w:rPr>
                <w:rFonts w:ascii="Cambria" w:hAnsi="Cambria"/>
                <w:sz w:val="14"/>
                <w:szCs w:val="14"/>
                <w:lang w:val="en-GB"/>
              </w:rPr>
            </w:pPr>
            <w:r>
              <w:rPr>
                <w:rFonts w:ascii="Cambria" w:hAnsi="Cambria"/>
                <w:sz w:val="14"/>
                <w:szCs w:val="14"/>
                <w:lang w:val="en-GB"/>
              </w:rPr>
              <w:t>C</w:t>
            </w:r>
          </w:p>
        </w:tc>
      </w:tr>
      <w:tr w:rsidR="00096DB8" w:rsidRPr="009149E3" w14:paraId="3A06B921" w14:textId="028A2F60" w:rsidTr="007D17EC">
        <w:tblPrEx>
          <w:jc w:val="left"/>
        </w:tblPrEx>
        <w:tc>
          <w:tcPr>
            <w:tcW w:w="2855" w:type="dxa"/>
          </w:tcPr>
          <w:p w14:paraId="7015B830" w14:textId="42F0C762" w:rsidR="00096DB8" w:rsidRPr="005A42C4" w:rsidRDefault="00096DB8" w:rsidP="00096DB8">
            <w:pPr>
              <w:rPr>
                <w:rFonts w:ascii="Cambria" w:hAnsi="Cambria"/>
                <w:sz w:val="14"/>
                <w:szCs w:val="14"/>
                <w:lang w:val="en-GB"/>
              </w:rPr>
            </w:pPr>
            <w:r>
              <w:rPr>
                <w:rFonts w:ascii="Cambria" w:hAnsi="Cambria"/>
                <w:sz w:val="14"/>
                <w:szCs w:val="14"/>
                <w:lang w:val="en-GB"/>
              </w:rPr>
              <w:t>Cooperative Bank reporting by Central Body</w:t>
            </w:r>
          </w:p>
        </w:tc>
        <w:tc>
          <w:tcPr>
            <w:tcW w:w="770" w:type="dxa"/>
          </w:tcPr>
          <w:p w14:paraId="0C48084B" w14:textId="3ED2F264" w:rsidR="00096DB8" w:rsidRPr="005A42C4" w:rsidRDefault="00096DB8" w:rsidP="00096DB8">
            <w:pPr>
              <w:jc w:val="center"/>
              <w:rPr>
                <w:rFonts w:ascii="Cambria" w:hAnsi="Cambria"/>
                <w:sz w:val="14"/>
                <w:szCs w:val="14"/>
                <w:lang w:val="en-GB"/>
              </w:rPr>
            </w:pPr>
            <w:r>
              <w:rPr>
                <w:rFonts w:ascii="Cambria" w:hAnsi="Cambria"/>
                <w:sz w:val="14"/>
                <w:szCs w:val="14"/>
                <w:lang w:val="en-GB"/>
              </w:rPr>
              <w:t>C</w:t>
            </w:r>
          </w:p>
        </w:tc>
        <w:tc>
          <w:tcPr>
            <w:tcW w:w="770" w:type="dxa"/>
          </w:tcPr>
          <w:p w14:paraId="4272ECA7" w14:textId="40BB15D8" w:rsidR="00096DB8" w:rsidRPr="005A42C4" w:rsidRDefault="00096DB8" w:rsidP="00096DB8">
            <w:pPr>
              <w:jc w:val="center"/>
              <w:rPr>
                <w:rFonts w:ascii="Cambria" w:hAnsi="Cambria"/>
                <w:sz w:val="14"/>
                <w:szCs w:val="14"/>
                <w:lang w:val="en-GB"/>
              </w:rPr>
            </w:pPr>
            <w:r>
              <w:rPr>
                <w:rFonts w:ascii="Cambria" w:hAnsi="Cambria"/>
                <w:sz w:val="14"/>
                <w:szCs w:val="14"/>
                <w:lang w:val="en-GB"/>
              </w:rPr>
              <w:t>C</w:t>
            </w:r>
          </w:p>
        </w:tc>
        <w:tc>
          <w:tcPr>
            <w:tcW w:w="770" w:type="dxa"/>
          </w:tcPr>
          <w:p w14:paraId="4DEDA07A" w14:textId="797BECCB" w:rsidR="00096DB8" w:rsidRPr="005A42C4" w:rsidRDefault="00096DB8" w:rsidP="00096DB8">
            <w:pPr>
              <w:jc w:val="center"/>
              <w:rPr>
                <w:rFonts w:ascii="Cambria" w:hAnsi="Cambria"/>
                <w:sz w:val="14"/>
                <w:szCs w:val="14"/>
                <w:lang w:val="en-GB"/>
              </w:rPr>
            </w:pPr>
            <w:r>
              <w:rPr>
                <w:rFonts w:ascii="Cambria" w:hAnsi="Cambria"/>
                <w:sz w:val="14"/>
                <w:szCs w:val="14"/>
                <w:lang w:val="en-GB"/>
              </w:rPr>
              <w:t>C</w:t>
            </w:r>
          </w:p>
        </w:tc>
        <w:tc>
          <w:tcPr>
            <w:tcW w:w="770" w:type="dxa"/>
          </w:tcPr>
          <w:p w14:paraId="3032520C" w14:textId="2E3D0FE4" w:rsidR="00096DB8" w:rsidRPr="005A42C4" w:rsidRDefault="00096DB8" w:rsidP="00096DB8">
            <w:pPr>
              <w:jc w:val="center"/>
              <w:rPr>
                <w:rFonts w:ascii="Cambria" w:hAnsi="Cambria"/>
                <w:sz w:val="14"/>
                <w:szCs w:val="14"/>
                <w:lang w:val="en-GB"/>
              </w:rPr>
            </w:pPr>
            <w:r>
              <w:rPr>
                <w:rFonts w:ascii="Cambria" w:hAnsi="Cambria"/>
                <w:sz w:val="14"/>
                <w:szCs w:val="14"/>
                <w:lang w:val="en-GB"/>
              </w:rPr>
              <w:t>C</w:t>
            </w:r>
          </w:p>
        </w:tc>
        <w:tc>
          <w:tcPr>
            <w:tcW w:w="770" w:type="dxa"/>
          </w:tcPr>
          <w:p w14:paraId="15825527" w14:textId="0D70DC58" w:rsidR="00096DB8" w:rsidRPr="005A42C4" w:rsidRDefault="00096DB8" w:rsidP="00096DB8">
            <w:pPr>
              <w:jc w:val="center"/>
              <w:rPr>
                <w:rFonts w:ascii="Cambria" w:hAnsi="Cambria"/>
                <w:sz w:val="14"/>
                <w:szCs w:val="14"/>
                <w:lang w:val="en-GB"/>
              </w:rPr>
            </w:pPr>
            <w:r>
              <w:rPr>
                <w:rFonts w:ascii="Cambria" w:hAnsi="Cambria"/>
                <w:sz w:val="14"/>
                <w:szCs w:val="14"/>
                <w:lang w:val="en-GB"/>
              </w:rPr>
              <w:t>C</w:t>
            </w:r>
          </w:p>
        </w:tc>
        <w:tc>
          <w:tcPr>
            <w:tcW w:w="770" w:type="dxa"/>
          </w:tcPr>
          <w:p w14:paraId="440974E3" w14:textId="4C6D5263" w:rsidR="00096DB8" w:rsidRPr="005A42C4" w:rsidRDefault="00096DB8" w:rsidP="00096DB8">
            <w:pPr>
              <w:jc w:val="center"/>
              <w:rPr>
                <w:rFonts w:ascii="Cambria" w:hAnsi="Cambria"/>
                <w:sz w:val="14"/>
                <w:szCs w:val="14"/>
                <w:lang w:val="en-GB"/>
              </w:rPr>
            </w:pPr>
            <w:r>
              <w:rPr>
                <w:rFonts w:ascii="Cambria" w:hAnsi="Cambria"/>
                <w:sz w:val="14"/>
                <w:szCs w:val="14"/>
                <w:lang w:val="en-GB"/>
              </w:rPr>
              <w:t>C</w:t>
            </w:r>
          </w:p>
        </w:tc>
        <w:tc>
          <w:tcPr>
            <w:tcW w:w="770" w:type="dxa"/>
          </w:tcPr>
          <w:p w14:paraId="39D5F963" w14:textId="07769059" w:rsidR="00096DB8" w:rsidRPr="005A42C4" w:rsidRDefault="00096DB8" w:rsidP="00096DB8">
            <w:pPr>
              <w:jc w:val="center"/>
              <w:rPr>
                <w:rFonts w:ascii="Cambria" w:hAnsi="Cambria"/>
                <w:sz w:val="14"/>
                <w:szCs w:val="14"/>
                <w:lang w:val="en-GB"/>
              </w:rPr>
            </w:pPr>
            <w:r>
              <w:rPr>
                <w:rFonts w:ascii="Cambria" w:hAnsi="Cambria"/>
                <w:sz w:val="14"/>
                <w:szCs w:val="14"/>
                <w:lang w:val="en-GB"/>
              </w:rPr>
              <w:t>C</w:t>
            </w:r>
          </w:p>
        </w:tc>
        <w:tc>
          <w:tcPr>
            <w:tcW w:w="771" w:type="dxa"/>
          </w:tcPr>
          <w:p w14:paraId="60CD2B65" w14:textId="01C5F0E4" w:rsidR="00096DB8" w:rsidRPr="005A42C4" w:rsidRDefault="00096DB8" w:rsidP="00096DB8">
            <w:pPr>
              <w:jc w:val="center"/>
              <w:rPr>
                <w:rFonts w:ascii="Cambria" w:hAnsi="Cambria"/>
                <w:sz w:val="14"/>
                <w:szCs w:val="14"/>
                <w:lang w:val="en-GB"/>
              </w:rPr>
            </w:pPr>
            <w:r>
              <w:rPr>
                <w:rFonts w:ascii="Cambria" w:hAnsi="Cambria"/>
                <w:sz w:val="14"/>
                <w:szCs w:val="14"/>
                <w:lang w:val="en-GB"/>
              </w:rPr>
              <w:t>C</w:t>
            </w:r>
          </w:p>
        </w:tc>
        <w:tc>
          <w:tcPr>
            <w:tcW w:w="771" w:type="dxa"/>
          </w:tcPr>
          <w:p w14:paraId="17253437" w14:textId="5602B2E7" w:rsidR="00096DB8" w:rsidRDefault="00096DB8" w:rsidP="00096DB8">
            <w:pPr>
              <w:jc w:val="center"/>
              <w:rPr>
                <w:rFonts w:ascii="Cambria" w:hAnsi="Cambria"/>
                <w:sz w:val="14"/>
                <w:szCs w:val="14"/>
                <w:lang w:val="en-GB"/>
              </w:rPr>
            </w:pPr>
            <w:r>
              <w:rPr>
                <w:rFonts w:ascii="Cambria" w:hAnsi="Cambria"/>
                <w:sz w:val="14"/>
                <w:szCs w:val="14"/>
                <w:lang w:val="en-GB"/>
              </w:rPr>
              <w:t>C</w:t>
            </w:r>
          </w:p>
        </w:tc>
        <w:tc>
          <w:tcPr>
            <w:tcW w:w="771" w:type="dxa"/>
          </w:tcPr>
          <w:p w14:paraId="0A4825E8" w14:textId="232F6E50" w:rsidR="00096DB8" w:rsidRDefault="00096DB8" w:rsidP="00096DB8">
            <w:pPr>
              <w:jc w:val="center"/>
              <w:rPr>
                <w:rFonts w:ascii="Cambria" w:hAnsi="Cambria"/>
                <w:sz w:val="14"/>
                <w:szCs w:val="14"/>
                <w:lang w:val="en-GB"/>
              </w:rPr>
            </w:pPr>
            <w:r>
              <w:rPr>
                <w:rFonts w:ascii="Cambria" w:hAnsi="Cambria"/>
                <w:sz w:val="14"/>
                <w:szCs w:val="14"/>
                <w:lang w:val="en-GB"/>
              </w:rPr>
              <w:t>C</w:t>
            </w:r>
          </w:p>
        </w:tc>
      </w:tr>
      <w:tr w:rsidR="00096DB8" w:rsidRPr="00706844" w14:paraId="2AD4B3C3" w14:textId="22CE0D59" w:rsidTr="007D17EC">
        <w:tblPrEx>
          <w:jc w:val="left"/>
        </w:tblPrEx>
        <w:tc>
          <w:tcPr>
            <w:tcW w:w="2855" w:type="dxa"/>
          </w:tcPr>
          <w:p w14:paraId="352CEF7A" w14:textId="77777777" w:rsidR="00096DB8" w:rsidRPr="005A42C4" w:rsidRDefault="00096DB8" w:rsidP="00096DB8">
            <w:pPr>
              <w:rPr>
                <w:rFonts w:ascii="Cambria" w:hAnsi="Cambria"/>
                <w:sz w:val="14"/>
                <w:szCs w:val="14"/>
                <w:lang w:val="en-GB"/>
              </w:rPr>
            </w:pPr>
            <w:r w:rsidRPr="005A42C4">
              <w:rPr>
                <w:rFonts w:ascii="Cambria" w:hAnsi="Cambria"/>
                <w:sz w:val="14"/>
                <w:szCs w:val="14"/>
                <w:lang w:val="en-GB"/>
              </w:rPr>
              <w:t>Resolution group consolidation or Prudential sub-consolidation</w:t>
            </w:r>
          </w:p>
        </w:tc>
        <w:tc>
          <w:tcPr>
            <w:tcW w:w="770" w:type="dxa"/>
          </w:tcPr>
          <w:p w14:paraId="17EBE8E0"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SC</w:t>
            </w:r>
          </w:p>
        </w:tc>
        <w:tc>
          <w:tcPr>
            <w:tcW w:w="770" w:type="dxa"/>
          </w:tcPr>
          <w:p w14:paraId="5051A3C7"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SC</w:t>
            </w:r>
          </w:p>
        </w:tc>
        <w:tc>
          <w:tcPr>
            <w:tcW w:w="770" w:type="dxa"/>
          </w:tcPr>
          <w:p w14:paraId="6704F14B"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SC</w:t>
            </w:r>
          </w:p>
        </w:tc>
        <w:tc>
          <w:tcPr>
            <w:tcW w:w="770" w:type="dxa"/>
          </w:tcPr>
          <w:p w14:paraId="43A9A895"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0" w:type="dxa"/>
          </w:tcPr>
          <w:p w14:paraId="5EB529E7"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0" w:type="dxa"/>
          </w:tcPr>
          <w:p w14:paraId="67157196"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0" w:type="dxa"/>
          </w:tcPr>
          <w:p w14:paraId="3CB36C32"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1" w:type="dxa"/>
          </w:tcPr>
          <w:p w14:paraId="4A4A98CC"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1" w:type="dxa"/>
          </w:tcPr>
          <w:p w14:paraId="452031CD" w14:textId="1B36781F"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w:t>
            </w:r>
          </w:p>
        </w:tc>
        <w:tc>
          <w:tcPr>
            <w:tcW w:w="771" w:type="dxa"/>
          </w:tcPr>
          <w:p w14:paraId="55E2C368" w14:textId="3342FE5E" w:rsidR="00096DB8" w:rsidRDefault="00537372" w:rsidP="00096DB8">
            <w:pPr>
              <w:jc w:val="center"/>
              <w:rPr>
                <w:rFonts w:ascii="Cambria" w:hAnsi="Cambria"/>
                <w:sz w:val="14"/>
                <w:szCs w:val="14"/>
                <w:lang w:val="en-GB"/>
              </w:rPr>
            </w:pPr>
            <w:r>
              <w:rPr>
                <w:rFonts w:ascii="Cambria" w:hAnsi="Cambria"/>
                <w:sz w:val="14"/>
                <w:szCs w:val="14"/>
                <w:lang w:val="en-GB"/>
              </w:rPr>
              <w:t>SC</w:t>
            </w:r>
          </w:p>
        </w:tc>
      </w:tr>
      <w:tr w:rsidR="00096DB8" w:rsidRPr="00706844" w14:paraId="22148ECD" w14:textId="0ACC4358" w:rsidTr="007D17EC">
        <w:trPr>
          <w:jc w:val="center"/>
        </w:trPr>
        <w:tc>
          <w:tcPr>
            <w:tcW w:w="2855" w:type="dxa"/>
          </w:tcPr>
          <w:p w14:paraId="3D00F7A9" w14:textId="77777777" w:rsidR="00096DB8" w:rsidRPr="005A42C4" w:rsidRDefault="00096DB8" w:rsidP="00096DB8">
            <w:pPr>
              <w:rPr>
                <w:rFonts w:ascii="Cambria" w:hAnsi="Cambria"/>
                <w:sz w:val="14"/>
                <w:szCs w:val="14"/>
                <w:lang w:val="en-GB"/>
              </w:rPr>
            </w:pPr>
            <w:r w:rsidRPr="005A42C4">
              <w:rPr>
                <w:rFonts w:ascii="Cambria" w:hAnsi="Cambria"/>
                <w:sz w:val="14"/>
                <w:szCs w:val="14"/>
                <w:lang w:val="en-GB"/>
              </w:rPr>
              <w:t>Designated as point of entry</w:t>
            </w:r>
          </w:p>
        </w:tc>
        <w:tc>
          <w:tcPr>
            <w:tcW w:w="770" w:type="dxa"/>
            <w:vAlign w:val="center"/>
          </w:tcPr>
          <w:p w14:paraId="6929F498"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09996222"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5C566FF1"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7B11563A"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6325DB91"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3E65241D"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0" w:type="dxa"/>
            <w:vAlign w:val="center"/>
          </w:tcPr>
          <w:p w14:paraId="49274F97"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1" w:type="dxa"/>
            <w:vAlign w:val="center"/>
          </w:tcPr>
          <w:p w14:paraId="042532A5" w14:textId="77777777"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1" w:type="dxa"/>
            <w:vAlign w:val="center"/>
          </w:tcPr>
          <w:p w14:paraId="286FF72B" w14:textId="1397E148" w:rsidR="00096DB8" w:rsidRPr="005A42C4" w:rsidRDefault="00096DB8" w:rsidP="00096DB8">
            <w:pPr>
              <w:jc w:val="center"/>
              <w:rPr>
                <w:rFonts w:ascii="Cambria" w:hAnsi="Cambria"/>
                <w:sz w:val="14"/>
                <w:szCs w:val="14"/>
                <w:lang w:val="en-GB"/>
              </w:rPr>
            </w:pPr>
            <w:r w:rsidRPr="005A42C4">
              <w:rPr>
                <w:rFonts w:ascii="Cambria" w:hAnsi="Cambria"/>
                <w:sz w:val="14"/>
                <w:szCs w:val="14"/>
                <w:lang w:val="en-GB"/>
              </w:rPr>
              <w:t>I</w:t>
            </w:r>
          </w:p>
        </w:tc>
        <w:tc>
          <w:tcPr>
            <w:tcW w:w="771" w:type="dxa"/>
            <w:vAlign w:val="center"/>
          </w:tcPr>
          <w:p w14:paraId="59403D84" w14:textId="2D085A5C" w:rsidR="00096DB8" w:rsidRDefault="00096DB8" w:rsidP="00096DB8">
            <w:pPr>
              <w:jc w:val="center"/>
              <w:rPr>
                <w:rFonts w:ascii="Cambria" w:hAnsi="Cambria"/>
                <w:sz w:val="14"/>
                <w:szCs w:val="14"/>
                <w:lang w:val="en-GB"/>
              </w:rPr>
            </w:pPr>
            <w:r w:rsidRPr="005A42C4">
              <w:rPr>
                <w:rFonts w:ascii="Cambria" w:hAnsi="Cambria"/>
                <w:sz w:val="14"/>
                <w:szCs w:val="14"/>
                <w:lang w:val="en-GB"/>
              </w:rPr>
              <w:t>I</w:t>
            </w:r>
          </w:p>
        </w:tc>
      </w:tr>
    </w:tbl>
    <w:p w14:paraId="09B7246B" w14:textId="77777777" w:rsidR="005959E1" w:rsidRPr="005A42C4" w:rsidRDefault="005959E1" w:rsidP="005959E1">
      <w:pPr>
        <w:rPr>
          <w:rFonts w:ascii="Cambria" w:hAnsi="Cambria"/>
          <w:sz w:val="14"/>
          <w:szCs w:val="14"/>
          <w:lang w:val="en-GB"/>
        </w:rPr>
      </w:pPr>
      <w:r w:rsidRPr="005A42C4">
        <w:rPr>
          <w:rFonts w:ascii="Cambria" w:hAnsi="Cambria"/>
          <w:sz w:val="14"/>
          <w:szCs w:val="14"/>
          <w:lang w:val="en-GB"/>
        </w:rPr>
        <w:t>C = Consolidat</w:t>
      </w:r>
      <w:r w:rsidR="0089050D" w:rsidRPr="005A42C4">
        <w:rPr>
          <w:rFonts w:ascii="Cambria" w:hAnsi="Cambria"/>
          <w:sz w:val="14"/>
          <w:szCs w:val="14"/>
          <w:lang w:val="en-GB"/>
        </w:rPr>
        <w:t>ed</w:t>
      </w:r>
    </w:p>
    <w:p w14:paraId="51FCDD75" w14:textId="77777777" w:rsidR="005959E1" w:rsidRPr="005A42C4" w:rsidRDefault="005959E1" w:rsidP="005959E1">
      <w:pPr>
        <w:rPr>
          <w:rFonts w:ascii="Cambria" w:hAnsi="Cambria"/>
          <w:sz w:val="14"/>
          <w:szCs w:val="14"/>
          <w:lang w:val="en-GB"/>
        </w:rPr>
      </w:pPr>
      <w:r w:rsidRPr="005A42C4">
        <w:rPr>
          <w:rFonts w:ascii="Cambria" w:hAnsi="Cambria"/>
          <w:sz w:val="14"/>
          <w:szCs w:val="14"/>
          <w:lang w:val="en-GB"/>
        </w:rPr>
        <w:t>SC = Sub-Consolidat</w:t>
      </w:r>
      <w:r w:rsidR="0089050D" w:rsidRPr="005A42C4">
        <w:rPr>
          <w:rFonts w:ascii="Cambria" w:hAnsi="Cambria"/>
          <w:sz w:val="14"/>
          <w:szCs w:val="14"/>
          <w:lang w:val="en-GB"/>
        </w:rPr>
        <w:t>ed</w:t>
      </w:r>
    </w:p>
    <w:p w14:paraId="6CC8C15F" w14:textId="77777777" w:rsidR="00491E04" w:rsidRPr="005A42C4" w:rsidRDefault="0089050D" w:rsidP="005959E1">
      <w:pPr>
        <w:rPr>
          <w:rFonts w:ascii="Cambria" w:hAnsi="Cambria"/>
          <w:lang w:val="en-GB"/>
        </w:rPr>
      </w:pPr>
      <w:r w:rsidRPr="005A42C4">
        <w:rPr>
          <w:rFonts w:ascii="Cambria" w:hAnsi="Cambria"/>
          <w:sz w:val="14"/>
          <w:szCs w:val="14"/>
          <w:lang w:val="en-GB"/>
        </w:rPr>
        <w:t>I</w:t>
      </w:r>
      <w:r w:rsidR="005959E1" w:rsidRPr="005A42C4">
        <w:rPr>
          <w:rFonts w:ascii="Cambria" w:hAnsi="Cambria"/>
          <w:sz w:val="14"/>
          <w:szCs w:val="14"/>
          <w:lang w:val="en-GB"/>
        </w:rPr>
        <w:t xml:space="preserve"> = </w:t>
      </w:r>
      <w:r w:rsidRPr="005A42C4">
        <w:rPr>
          <w:rFonts w:ascii="Cambria" w:hAnsi="Cambria"/>
          <w:sz w:val="14"/>
          <w:szCs w:val="14"/>
          <w:lang w:val="en-GB"/>
        </w:rPr>
        <w:t>Individual</w:t>
      </w:r>
    </w:p>
    <w:p w14:paraId="6CAF3A9E" w14:textId="77777777" w:rsidR="005959E1" w:rsidRPr="005A42C4" w:rsidRDefault="005959E1" w:rsidP="0055568E">
      <w:pPr>
        <w:rPr>
          <w:rFonts w:ascii="Cambria" w:hAnsi="Cambria"/>
          <w:lang w:val="en-GB"/>
        </w:rPr>
      </w:pPr>
    </w:p>
    <w:p w14:paraId="1968A8D3" w14:textId="77777777" w:rsidR="005778F1" w:rsidRPr="005A42C4" w:rsidRDefault="00DC6577" w:rsidP="005778F1">
      <w:pPr>
        <w:rPr>
          <w:rFonts w:ascii="Cambria" w:hAnsi="Cambria"/>
          <w:lang w:val="en-GB"/>
        </w:rPr>
      </w:pPr>
      <w:r w:rsidRPr="005A42C4">
        <w:rPr>
          <w:rFonts w:ascii="Cambria" w:hAnsi="Cambria"/>
          <w:lang w:val="en-GB"/>
        </w:rPr>
        <w:t>I</w:t>
      </w:r>
      <w:r w:rsidR="005778F1" w:rsidRPr="005A42C4">
        <w:rPr>
          <w:rFonts w:ascii="Cambria" w:hAnsi="Cambria"/>
          <w:lang w:val="en-GB"/>
        </w:rPr>
        <w:t xml:space="preserve">nstitutions will need to clarify the definition of resolution groups and point(s) of entry with their IRT. </w:t>
      </w:r>
      <w:r w:rsidRPr="005A42C4">
        <w:rPr>
          <w:rFonts w:ascii="Cambria" w:hAnsi="Cambria"/>
          <w:lang w:val="en-GB"/>
        </w:rPr>
        <w:t>A</w:t>
      </w:r>
      <w:r w:rsidR="005778F1" w:rsidRPr="005A42C4">
        <w:rPr>
          <w:rFonts w:ascii="Cambria" w:hAnsi="Cambria"/>
          <w:lang w:val="en-GB"/>
        </w:rPr>
        <w:t xml:space="preserve">s summarized in </w:t>
      </w:r>
      <w:r w:rsidRPr="005A42C4">
        <w:rPr>
          <w:rFonts w:ascii="Cambria" w:hAnsi="Cambria"/>
          <w:lang w:val="en-GB"/>
        </w:rPr>
        <w:t xml:space="preserve">the </w:t>
      </w:r>
      <w:r w:rsidR="005778F1" w:rsidRPr="005A42C4">
        <w:rPr>
          <w:rFonts w:ascii="Cambria" w:hAnsi="Cambria"/>
          <w:lang w:val="en-GB"/>
        </w:rPr>
        <w:t xml:space="preserve">table </w:t>
      </w:r>
      <w:r w:rsidRPr="005A42C4">
        <w:rPr>
          <w:rFonts w:ascii="Cambria" w:hAnsi="Cambria"/>
          <w:lang w:val="en-GB"/>
        </w:rPr>
        <w:t>above, the following reporting requirements will be applicable</w:t>
      </w:r>
      <w:r w:rsidR="005778F1" w:rsidRPr="005A42C4">
        <w:rPr>
          <w:rFonts w:ascii="Cambria" w:hAnsi="Cambria"/>
          <w:lang w:val="en-GB"/>
        </w:rPr>
        <w:t>:</w:t>
      </w:r>
    </w:p>
    <w:p w14:paraId="5F217001" w14:textId="77777777" w:rsidR="005778F1" w:rsidRPr="005A42C4" w:rsidRDefault="005778F1" w:rsidP="000F570C">
      <w:pPr>
        <w:pStyle w:val="ListParagraph"/>
        <w:numPr>
          <w:ilvl w:val="0"/>
          <w:numId w:val="9"/>
        </w:numPr>
        <w:spacing w:line="276" w:lineRule="auto"/>
        <w:rPr>
          <w:sz w:val="20"/>
          <w:szCs w:val="22"/>
          <w:lang w:val="en-GB"/>
        </w:rPr>
      </w:pPr>
      <w:r w:rsidRPr="005A42C4">
        <w:rPr>
          <w:sz w:val="20"/>
          <w:szCs w:val="22"/>
          <w:lang w:val="en-GB"/>
        </w:rPr>
        <w:t>LD</w:t>
      </w:r>
      <w:r w:rsidR="00C8142A" w:rsidRPr="005A42C4">
        <w:rPr>
          <w:sz w:val="20"/>
          <w:szCs w:val="22"/>
          <w:lang w:val="en-GB"/>
        </w:rPr>
        <w:t>R</w:t>
      </w:r>
      <w:r w:rsidRPr="005A42C4">
        <w:rPr>
          <w:sz w:val="20"/>
          <w:szCs w:val="22"/>
          <w:lang w:val="en-GB"/>
        </w:rPr>
        <w:t>-Sheets T01.00 - T03.00</w:t>
      </w:r>
      <w:r w:rsidR="00277BA2" w:rsidRPr="005A42C4">
        <w:rPr>
          <w:sz w:val="20"/>
          <w:szCs w:val="22"/>
          <w:lang w:val="en-GB"/>
        </w:rPr>
        <w:t>:</w:t>
      </w:r>
    </w:p>
    <w:p w14:paraId="20D2CFE6" w14:textId="77777777" w:rsidR="005778F1" w:rsidRPr="005A42C4" w:rsidRDefault="005778F1" w:rsidP="000F570C">
      <w:pPr>
        <w:pStyle w:val="ListParagraph"/>
        <w:numPr>
          <w:ilvl w:val="1"/>
          <w:numId w:val="9"/>
        </w:numPr>
        <w:spacing w:line="276" w:lineRule="auto"/>
        <w:rPr>
          <w:sz w:val="20"/>
          <w:szCs w:val="22"/>
          <w:lang w:val="en-GB"/>
        </w:rPr>
      </w:pPr>
      <w:r w:rsidRPr="005A42C4">
        <w:rPr>
          <w:sz w:val="20"/>
          <w:szCs w:val="22"/>
          <w:lang w:val="en-GB"/>
        </w:rPr>
        <w:t xml:space="preserve">For ultimate parent: Consolidated level (C) and </w:t>
      </w:r>
      <w:r w:rsidR="0089050D" w:rsidRPr="005A42C4">
        <w:rPr>
          <w:sz w:val="20"/>
          <w:szCs w:val="22"/>
          <w:lang w:val="en-GB"/>
        </w:rPr>
        <w:t xml:space="preserve">Individual </w:t>
      </w:r>
      <w:r w:rsidRPr="005A42C4">
        <w:rPr>
          <w:sz w:val="20"/>
          <w:szCs w:val="22"/>
          <w:lang w:val="en-GB"/>
        </w:rPr>
        <w:t>(</w:t>
      </w:r>
      <w:r w:rsidR="0089050D" w:rsidRPr="005A42C4">
        <w:rPr>
          <w:sz w:val="20"/>
          <w:szCs w:val="22"/>
          <w:lang w:val="en-GB"/>
        </w:rPr>
        <w:t>I</w:t>
      </w:r>
      <w:r w:rsidRPr="005A42C4">
        <w:rPr>
          <w:sz w:val="20"/>
          <w:szCs w:val="22"/>
          <w:lang w:val="en-GB"/>
        </w:rPr>
        <w:t>)</w:t>
      </w:r>
      <w:r w:rsidR="000A75CF" w:rsidRPr="005A42C4">
        <w:rPr>
          <w:sz w:val="20"/>
          <w:szCs w:val="22"/>
          <w:lang w:val="en-GB"/>
        </w:rPr>
        <w:t xml:space="preserve"> level</w:t>
      </w:r>
    </w:p>
    <w:p w14:paraId="527E75DB" w14:textId="77777777" w:rsidR="005778F1" w:rsidRPr="005A42C4" w:rsidRDefault="005778F1" w:rsidP="000F570C">
      <w:pPr>
        <w:pStyle w:val="ListParagraph"/>
        <w:numPr>
          <w:ilvl w:val="1"/>
          <w:numId w:val="9"/>
        </w:numPr>
        <w:spacing w:line="276" w:lineRule="auto"/>
        <w:rPr>
          <w:sz w:val="20"/>
          <w:szCs w:val="22"/>
          <w:lang w:val="en-GB"/>
        </w:rPr>
      </w:pPr>
      <w:r w:rsidRPr="005A42C4">
        <w:rPr>
          <w:sz w:val="20"/>
          <w:szCs w:val="22"/>
          <w:lang w:val="en-GB"/>
        </w:rPr>
        <w:t xml:space="preserve">For </w:t>
      </w:r>
      <w:r w:rsidR="00AB3E34" w:rsidRPr="005A42C4">
        <w:rPr>
          <w:sz w:val="20"/>
          <w:szCs w:val="22"/>
          <w:lang w:val="en-GB"/>
        </w:rPr>
        <w:t>R</w:t>
      </w:r>
      <w:r w:rsidRPr="005A42C4">
        <w:rPr>
          <w:sz w:val="20"/>
          <w:szCs w:val="22"/>
          <w:lang w:val="en-GB"/>
        </w:rPr>
        <w:t xml:space="preserve">LEs: Sub-consolidated level (SC) and </w:t>
      </w:r>
      <w:r w:rsidR="0089050D" w:rsidRPr="005A42C4">
        <w:rPr>
          <w:sz w:val="20"/>
          <w:szCs w:val="22"/>
          <w:lang w:val="en-GB"/>
        </w:rPr>
        <w:t xml:space="preserve">Individual </w:t>
      </w:r>
      <w:r w:rsidRPr="005A42C4">
        <w:rPr>
          <w:sz w:val="20"/>
          <w:szCs w:val="22"/>
          <w:lang w:val="en-GB"/>
        </w:rPr>
        <w:t>(</w:t>
      </w:r>
      <w:r w:rsidR="0089050D" w:rsidRPr="005A42C4">
        <w:rPr>
          <w:sz w:val="20"/>
          <w:szCs w:val="22"/>
          <w:lang w:val="en-GB"/>
        </w:rPr>
        <w:t>I</w:t>
      </w:r>
      <w:r w:rsidRPr="005A42C4">
        <w:rPr>
          <w:sz w:val="20"/>
          <w:szCs w:val="22"/>
          <w:lang w:val="en-GB"/>
        </w:rPr>
        <w:t>)</w:t>
      </w:r>
      <w:r w:rsidR="000A75CF" w:rsidRPr="005A42C4">
        <w:rPr>
          <w:sz w:val="20"/>
          <w:szCs w:val="22"/>
          <w:lang w:val="en-GB"/>
        </w:rPr>
        <w:t xml:space="preserve"> level</w:t>
      </w:r>
    </w:p>
    <w:p w14:paraId="587C4174" w14:textId="77777777" w:rsidR="005778F1" w:rsidRPr="005A42C4" w:rsidRDefault="005778F1" w:rsidP="000F570C">
      <w:pPr>
        <w:pStyle w:val="ListParagraph"/>
        <w:numPr>
          <w:ilvl w:val="1"/>
          <w:numId w:val="9"/>
        </w:numPr>
        <w:spacing w:line="276" w:lineRule="auto"/>
        <w:rPr>
          <w:sz w:val="20"/>
          <w:szCs w:val="22"/>
          <w:lang w:val="en-GB"/>
        </w:rPr>
      </w:pPr>
      <w:r w:rsidRPr="005A42C4">
        <w:rPr>
          <w:sz w:val="20"/>
          <w:szCs w:val="22"/>
          <w:lang w:val="en-GB"/>
        </w:rPr>
        <w:t>For Res</w:t>
      </w:r>
      <w:r w:rsidR="00277BA2" w:rsidRPr="005A42C4">
        <w:rPr>
          <w:sz w:val="20"/>
          <w:szCs w:val="22"/>
          <w:lang w:val="en-GB"/>
        </w:rPr>
        <w:t xml:space="preserve">olution </w:t>
      </w:r>
      <w:r w:rsidRPr="005A42C4">
        <w:rPr>
          <w:sz w:val="20"/>
          <w:szCs w:val="22"/>
          <w:lang w:val="en-GB"/>
        </w:rPr>
        <w:t>Groups: Sub-consolidated level (SC)</w:t>
      </w:r>
    </w:p>
    <w:p w14:paraId="31E7D263" w14:textId="40351A8A" w:rsidR="005778F1" w:rsidRPr="005A42C4" w:rsidRDefault="005778F1" w:rsidP="007C54D2">
      <w:pPr>
        <w:pStyle w:val="ListParagraph"/>
        <w:numPr>
          <w:ilvl w:val="0"/>
          <w:numId w:val="9"/>
        </w:numPr>
        <w:spacing w:line="276" w:lineRule="auto"/>
        <w:rPr>
          <w:sz w:val="20"/>
          <w:szCs w:val="22"/>
          <w:lang w:val="en-GB"/>
        </w:rPr>
      </w:pPr>
      <w:r w:rsidRPr="005A42C4">
        <w:rPr>
          <w:sz w:val="20"/>
          <w:szCs w:val="22"/>
          <w:lang w:val="en-GB"/>
        </w:rPr>
        <w:t>LD</w:t>
      </w:r>
      <w:r w:rsidR="00C8142A" w:rsidRPr="005A42C4">
        <w:rPr>
          <w:sz w:val="20"/>
          <w:szCs w:val="22"/>
          <w:lang w:val="en-GB"/>
        </w:rPr>
        <w:t>R</w:t>
      </w:r>
      <w:r w:rsidRPr="005A42C4">
        <w:rPr>
          <w:sz w:val="20"/>
          <w:szCs w:val="22"/>
          <w:lang w:val="en-GB"/>
        </w:rPr>
        <w:t xml:space="preserve">-Sheets T04.00 – </w:t>
      </w:r>
      <w:r w:rsidR="00096DB8" w:rsidRPr="005A42C4">
        <w:rPr>
          <w:sz w:val="20"/>
          <w:szCs w:val="22"/>
          <w:lang w:val="en-GB"/>
        </w:rPr>
        <w:t>T</w:t>
      </w:r>
      <w:r w:rsidR="00096DB8">
        <w:rPr>
          <w:sz w:val="20"/>
          <w:szCs w:val="22"/>
          <w:lang w:val="en-GB"/>
        </w:rPr>
        <w:t>12</w:t>
      </w:r>
      <w:r w:rsidRPr="005A42C4">
        <w:rPr>
          <w:sz w:val="20"/>
          <w:szCs w:val="22"/>
          <w:lang w:val="en-GB"/>
        </w:rPr>
        <w:t xml:space="preserve">.00: </w:t>
      </w:r>
    </w:p>
    <w:p w14:paraId="257EF23D" w14:textId="3EDA4D7A" w:rsidR="005778F1" w:rsidRDefault="005778F1" w:rsidP="007C54D2">
      <w:pPr>
        <w:pStyle w:val="ListParagraph"/>
        <w:numPr>
          <w:ilvl w:val="1"/>
          <w:numId w:val="9"/>
        </w:numPr>
        <w:spacing w:line="276" w:lineRule="auto"/>
        <w:rPr>
          <w:sz w:val="20"/>
          <w:szCs w:val="22"/>
          <w:lang w:val="en-GB"/>
        </w:rPr>
      </w:pPr>
      <w:r w:rsidRPr="005A42C4">
        <w:rPr>
          <w:sz w:val="20"/>
          <w:szCs w:val="22"/>
          <w:lang w:val="en-GB"/>
        </w:rPr>
        <w:t xml:space="preserve">For all </w:t>
      </w:r>
      <w:r w:rsidR="00AB3E34" w:rsidRPr="005A42C4">
        <w:rPr>
          <w:sz w:val="20"/>
          <w:szCs w:val="22"/>
          <w:lang w:val="en-GB"/>
        </w:rPr>
        <w:t>R</w:t>
      </w:r>
      <w:r w:rsidRPr="005A42C4">
        <w:rPr>
          <w:sz w:val="20"/>
          <w:szCs w:val="22"/>
          <w:lang w:val="en-GB"/>
        </w:rPr>
        <w:t xml:space="preserve">LEs which are designated as point of entry: </w:t>
      </w:r>
      <w:r w:rsidR="0089050D" w:rsidRPr="005A42C4">
        <w:rPr>
          <w:sz w:val="20"/>
          <w:szCs w:val="22"/>
          <w:lang w:val="en-GB"/>
        </w:rPr>
        <w:t xml:space="preserve">Individual </w:t>
      </w:r>
      <w:r w:rsidRPr="005A42C4">
        <w:rPr>
          <w:sz w:val="20"/>
          <w:szCs w:val="22"/>
          <w:lang w:val="en-GB"/>
        </w:rPr>
        <w:t>(</w:t>
      </w:r>
      <w:r w:rsidR="0089050D" w:rsidRPr="005A42C4">
        <w:rPr>
          <w:sz w:val="20"/>
          <w:szCs w:val="22"/>
          <w:lang w:val="en-GB"/>
        </w:rPr>
        <w:t>I</w:t>
      </w:r>
      <w:r w:rsidRPr="005A42C4">
        <w:rPr>
          <w:sz w:val="20"/>
          <w:szCs w:val="22"/>
          <w:lang w:val="en-GB"/>
        </w:rPr>
        <w:t>)</w:t>
      </w:r>
      <w:r w:rsidR="000A75CF" w:rsidRPr="005A42C4">
        <w:rPr>
          <w:sz w:val="20"/>
          <w:szCs w:val="22"/>
          <w:lang w:val="en-GB"/>
        </w:rPr>
        <w:t xml:space="preserve"> level</w:t>
      </w:r>
      <w:r w:rsidRPr="005A42C4">
        <w:rPr>
          <w:sz w:val="20"/>
          <w:szCs w:val="22"/>
          <w:lang w:val="en-GB"/>
        </w:rPr>
        <w:t>.</w:t>
      </w:r>
      <w:r w:rsidRPr="005A42C4">
        <w:rPr>
          <w:sz w:val="20"/>
          <w:szCs w:val="22"/>
          <w:vertAlign w:val="superscript"/>
          <w:lang w:val="en-GB"/>
        </w:rPr>
        <w:footnoteReference w:id="5"/>
      </w:r>
    </w:p>
    <w:p w14:paraId="57DB09B3" w14:textId="1788677D" w:rsidR="00096DB8" w:rsidRPr="005A42C4" w:rsidRDefault="00096DB8" w:rsidP="007C54D2">
      <w:pPr>
        <w:pStyle w:val="ListParagraph"/>
        <w:numPr>
          <w:ilvl w:val="1"/>
          <w:numId w:val="9"/>
        </w:numPr>
        <w:spacing w:line="276" w:lineRule="auto"/>
        <w:rPr>
          <w:sz w:val="20"/>
          <w:szCs w:val="22"/>
          <w:lang w:val="en-GB"/>
        </w:rPr>
      </w:pPr>
      <w:r>
        <w:rPr>
          <w:sz w:val="20"/>
          <w:szCs w:val="22"/>
          <w:lang w:val="en-GB"/>
        </w:rPr>
        <w:t>For Cooperative groups: Consolidated (C) level.</w:t>
      </w:r>
    </w:p>
    <w:p w14:paraId="121FD293" w14:textId="77777777" w:rsidR="005778F1" w:rsidRPr="005A42C4" w:rsidRDefault="005778F1" w:rsidP="0055568E">
      <w:pPr>
        <w:rPr>
          <w:rFonts w:ascii="Cambria" w:hAnsi="Cambria"/>
          <w:lang w:val="en-GB"/>
        </w:rPr>
      </w:pPr>
    </w:p>
    <w:p w14:paraId="69DDFEA8" w14:textId="77777777" w:rsidR="00AC044E" w:rsidRPr="005A42C4" w:rsidRDefault="000F52BB" w:rsidP="0055568E">
      <w:pPr>
        <w:rPr>
          <w:rFonts w:ascii="Cambria" w:hAnsi="Cambria"/>
          <w:lang w:val="en-GB"/>
        </w:rPr>
      </w:pPr>
      <w:r w:rsidRPr="005A42C4">
        <w:rPr>
          <w:rFonts w:ascii="Cambria" w:hAnsi="Cambria"/>
          <w:lang w:val="en-GB"/>
        </w:rPr>
        <w:t>Notwithstanding th</w:t>
      </w:r>
      <w:r w:rsidR="008D6FAC" w:rsidRPr="005A42C4">
        <w:rPr>
          <w:rFonts w:ascii="Cambria" w:hAnsi="Cambria"/>
          <w:lang w:val="en-GB"/>
        </w:rPr>
        <w:t>e</w:t>
      </w:r>
      <w:r w:rsidRPr="005A42C4">
        <w:rPr>
          <w:rFonts w:ascii="Cambria" w:hAnsi="Cambria"/>
          <w:lang w:val="en-GB"/>
        </w:rPr>
        <w:t>s</w:t>
      </w:r>
      <w:r w:rsidR="008D6FAC" w:rsidRPr="005A42C4">
        <w:rPr>
          <w:rFonts w:ascii="Cambria" w:hAnsi="Cambria"/>
          <w:lang w:val="en-GB"/>
        </w:rPr>
        <w:t>e guidelines,</w:t>
      </w:r>
      <w:r w:rsidR="00CC72C1" w:rsidRPr="005A42C4">
        <w:rPr>
          <w:rFonts w:ascii="Cambria" w:hAnsi="Cambria"/>
          <w:lang w:val="en-GB"/>
        </w:rPr>
        <w:t xml:space="preserve"> the respective IRT will determine </w:t>
      </w:r>
      <w:r w:rsidR="00E055F0" w:rsidRPr="005A42C4">
        <w:rPr>
          <w:rFonts w:ascii="Cambria" w:hAnsi="Cambria"/>
          <w:lang w:val="en-GB"/>
        </w:rPr>
        <w:t xml:space="preserve">and communicate </w:t>
      </w:r>
      <w:r w:rsidR="00CC72C1" w:rsidRPr="005A42C4">
        <w:rPr>
          <w:rFonts w:ascii="Cambria" w:hAnsi="Cambria"/>
          <w:lang w:val="en-GB"/>
        </w:rPr>
        <w:t>the precise scope of reporting for the entities within groups</w:t>
      </w:r>
      <w:r w:rsidR="00B50D3E" w:rsidRPr="005A42C4">
        <w:rPr>
          <w:rFonts w:ascii="Cambria" w:hAnsi="Cambria"/>
          <w:lang w:val="en-GB"/>
        </w:rPr>
        <w:t xml:space="preserve"> with an adequate level of flexibility</w:t>
      </w:r>
      <w:r w:rsidR="00CC72C1" w:rsidRPr="005A42C4">
        <w:rPr>
          <w:rFonts w:ascii="Cambria" w:hAnsi="Cambria"/>
          <w:lang w:val="en-GB"/>
        </w:rPr>
        <w:t>, taking into account the specific features of every group. Furthermore, groups and entities are expected to</w:t>
      </w:r>
      <w:r w:rsidRPr="005A42C4">
        <w:rPr>
          <w:rFonts w:ascii="Cambria" w:hAnsi="Cambria"/>
          <w:lang w:val="en-GB"/>
        </w:rPr>
        <w:t xml:space="preserve"> be able to provide the information </w:t>
      </w:r>
      <w:r w:rsidR="00CC72C1" w:rsidRPr="005A42C4">
        <w:rPr>
          <w:rFonts w:ascii="Cambria" w:hAnsi="Cambria"/>
          <w:lang w:val="en-GB"/>
        </w:rPr>
        <w:t>that is not included in the yearly report</w:t>
      </w:r>
      <w:r w:rsidR="00C27B7D" w:rsidRPr="005A42C4">
        <w:rPr>
          <w:rFonts w:ascii="Cambria" w:hAnsi="Cambria"/>
          <w:lang w:val="en-GB"/>
        </w:rPr>
        <w:t>,</w:t>
      </w:r>
      <w:r w:rsidR="001E5696" w:rsidRPr="005A42C4">
        <w:rPr>
          <w:rFonts w:ascii="Cambria" w:hAnsi="Cambria"/>
          <w:lang w:val="en-GB"/>
        </w:rPr>
        <w:t xml:space="preserve"> if necessary</w:t>
      </w:r>
      <w:r w:rsidRPr="005A42C4">
        <w:rPr>
          <w:rFonts w:ascii="Cambria" w:hAnsi="Cambria"/>
          <w:lang w:val="en-GB"/>
        </w:rPr>
        <w:t xml:space="preserve"> within short notice</w:t>
      </w:r>
      <w:r w:rsidR="006131BD" w:rsidRPr="005A42C4">
        <w:rPr>
          <w:rFonts w:ascii="Cambria" w:hAnsi="Cambria"/>
          <w:lang w:val="en-GB"/>
        </w:rPr>
        <w:t xml:space="preserve"> (cf. section 3 on the reporting process)</w:t>
      </w:r>
      <w:r w:rsidRPr="005A42C4">
        <w:rPr>
          <w:rFonts w:ascii="Cambria" w:hAnsi="Cambria"/>
          <w:lang w:val="en-GB"/>
        </w:rPr>
        <w:t>.</w:t>
      </w:r>
    </w:p>
    <w:p w14:paraId="047F6826" w14:textId="77777777" w:rsidR="00CA2C6A" w:rsidRPr="005A42C4" w:rsidRDefault="00CA2C6A" w:rsidP="00E4539A">
      <w:pPr>
        <w:pStyle w:val="Heading3"/>
        <w:numPr>
          <w:ilvl w:val="0"/>
          <w:numId w:val="19"/>
        </w:numPr>
        <w:ind w:left="567" w:hanging="567"/>
        <w:rPr>
          <w:rFonts w:ascii="Cambria" w:hAnsi="Cambria"/>
          <w:lang w:val="en-GB"/>
        </w:rPr>
      </w:pPr>
      <w:bookmarkStart w:id="6" w:name="_Toc12973011"/>
      <w:bookmarkStart w:id="7" w:name="_Toc13755741"/>
      <w:r w:rsidRPr="005A42C4">
        <w:rPr>
          <w:rFonts w:ascii="Cambria" w:hAnsi="Cambria"/>
          <w:lang w:val="en-GB"/>
        </w:rPr>
        <w:t>Governance</w:t>
      </w:r>
      <w:bookmarkEnd w:id="6"/>
      <w:bookmarkEnd w:id="7"/>
    </w:p>
    <w:p w14:paraId="26CB299C" w14:textId="77777777" w:rsidR="00C8156C" w:rsidRPr="005A42C4" w:rsidRDefault="00CA2C6A" w:rsidP="009474F1">
      <w:pPr>
        <w:rPr>
          <w:rFonts w:ascii="Cambria" w:hAnsi="Cambria"/>
          <w:u w:val="single"/>
          <w:lang w:val="en-GB"/>
        </w:rPr>
      </w:pPr>
      <w:r w:rsidRPr="005A42C4">
        <w:rPr>
          <w:rFonts w:ascii="Cambria" w:hAnsi="Cambria"/>
          <w:lang w:val="en-GB"/>
        </w:rPr>
        <w:t xml:space="preserve">The data collected will be committing for each of the concerned </w:t>
      </w:r>
      <w:r w:rsidR="00F400B4" w:rsidRPr="005A42C4">
        <w:rPr>
          <w:rFonts w:ascii="Cambria" w:hAnsi="Cambria"/>
          <w:lang w:val="en-GB"/>
        </w:rPr>
        <w:t xml:space="preserve">entities </w:t>
      </w:r>
      <w:r w:rsidRPr="005A42C4">
        <w:rPr>
          <w:rFonts w:ascii="Cambria" w:hAnsi="Cambria"/>
          <w:lang w:val="en-GB"/>
        </w:rPr>
        <w:t>and the SR</w:t>
      </w:r>
      <w:r w:rsidR="008F7F38" w:rsidRPr="005A42C4">
        <w:rPr>
          <w:rFonts w:ascii="Cambria" w:hAnsi="Cambria"/>
          <w:lang w:val="en-GB"/>
        </w:rPr>
        <w:t>M</w:t>
      </w:r>
      <w:r w:rsidRPr="005A42C4">
        <w:rPr>
          <w:rFonts w:ascii="Cambria" w:hAnsi="Cambria"/>
          <w:lang w:val="en-GB"/>
        </w:rPr>
        <w:t xml:space="preserve"> will communicate with senior management based on th</w:t>
      </w:r>
      <w:r w:rsidR="00A7565D" w:rsidRPr="005A42C4">
        <w:rPr>
          <w:rFonts w:ascii="Cambria" w:hAnsi="Cambria"/>
          <w:lang w:val="en-GB"/>
        </w:rPr>
        <w:t>ese</w:t>
      </w:r>
      <w:r w:rsidRPr="005A42C4">
        <w:rPr>
          <w:rFonts w:ascii="Cambria" w:hAnsi="Cambria"/>
          <w:lang w:val="en-GB"/>
        </w:rPr>
        <w:t xml:space="preserve"> data (e.g. for MREL purposes). As such, senior management is expected to be aware and familiar with this data and ensure an appropriate level of confidence with respect</w:t>
      </w:r>
      <w:r w:rsidR="00C8156C" w:rsidRPr="005A42C4">
        <w:rPr>
          <w:rFonts w:ascii="Cambria" w:hAnsi="Cambria"/>
          <w:lang w:val="en-GB"/>
        </w:rPr>
        <w:t xml:space="preserve"> to its accurateness.</w:t>
      </w:r>
      <w:r w:rsidR="008F7F38" w:rsidRPr="005A42C4">
        <w:rPr>
          <w:rFonts w:ascii="Cambria" w:hAnsi="Cambria"/>
          <w:lang w:val="en-GB"/>
        </w:rPr>
        <w:t xml:space="preserve"> To this end, </w:t>
      </w:r>
      <w:r w:rsidR="008F7F38" w:rsidRPr="005A42C4">
        <w:rPr>
          <w:rFonts w:ascii="Cambria" w:hAnsi="Cambria"/>
          <w:u w:val="single"/>
          <w:lang w:val="en-GB"/>
        </w:rPr>
        <w:t>the completeness and accuracy of reported data needs to be subject to an adequate validation framework.</w:t>
      </w:r>
    </w:p>
    <w:p w14:paraId="5B081B2A" w14:textId="77777777" w:rsidR="00A8758A" w:rsidRPr="005A42C4" w:rsidRDefault="00A8758A" w:rsidP="009474F1">
      <w:pPr>
        <w:rPr>
          <w:rFonts w:ascii="Cambria" w:hAnsi="Cambria"/>
          <w:lang w:val="en-GB"/>
        </w:rPr>
      </w:pPr>
    </w:p>
    <w:p w14:paraId="6106FDC3" w14:textId="77777777" w:rsidR="00AC044E" w:rsidRPr="005A42C4" w:rsidRDefault="00A8758A" w:rsidP="009474F1">
      <w:pPr>
        <w:rPr>
          <w:rFonts w:ascii="Cambria" w:hAnsi="Cambria"/>
          <w:lang w:val="en-GB"/>
        </w:rPr>
      </w:pPr>
      <w:r w:rsidRPr="005A42C4">
        <w:rPr>
          <w:rFonts w:ascii="Cambria" w:hAnsi="Cambria"/>
          <w:lang w:val="en-GB"/>
        </w:rPr>
        <w:t>NRA</w:t>
      </w:r>
      <w:r w:rsidR="00C27B7D" w:rsidRPr="005A42C4">
        <w:rPr>
          <w:rFonts w:ascii="Cambria" w:hAnsi="Cambria"/>
          <w:lang w:val="en-GB"/>
        </w:rPr>
        <w:t>s</w:t>
      </w:r>
      <w:r w:rsidRPr="005A42C4">
        <w:rPr>
          <w:rFonts w:ascii="Cambria" w:hAnsi="Cambria"/>
          <w:lang w:val="en-GB"/>
        </w:rPr>
        <w:t xml:space="preserve"> </w:t>
      </w:r>
      <w:r w:rsidR="00B8573B" w:rsidRPr="005A42C4">
        <w:rPr>
          <w:rFonts w:ascii="Cambria" w:hAnsi="Cambria"/>
          <w:lang w:val="en-GB"/>
        </w:rPr>
        <w:t xml:space="preserve">could </w:t>
      </w:r>
      <w:r w:rsidR="00C27B7D" w:rsidRPr="005A42C4">
        <w:rPr>
          <w:rFonts w:ascii="Cambria" w:hAnsi="Cambria"/>
          <w:lang w:val="en-GB"/>
        </w:rPr>
        <w:t xml:space="preserve">further specify </w:t>
      </w:r>
      <w:r w:rsidRPr="005A42C4">
        <w:rPr>
          <w:rFonts w:ascii="Cambria" w:hAnsi="Cambria"/>
          <w:lang w:val="en-GB"/>
        </w:rPr>
        <w:t>the requirements for validation (e.g. external audit requirement)</w:t>
      </w:r>
      <w:r w:rsidR="00E171BB" w:rsidRPr="005A42C4">
        <w:rPr>
          <w:rFonts w:ascii="Cambria" w:hAnsi="Cambria"/>
          <w:lang w:val="en-GB"/>
        </w:rPr>
        <w:t>. When the timing for validation</w:t>
      </w:r>
      <w:r w:rsidRPr="005A42C4">
        <w:rPr>
          <w:rFonts w:ascii="Cambria" w:hAnsi="Cambria"/>
          <w:lang w:val="en-GB"/>
        </w:rPr>
        <w:t xml:space="preserve"> interfere</w:t>
      </w:r>
      <w:r w:rsidR="00E171BB" w:rsidRPr="005A42C4">
        <w:rPr>
          <w:rFonts w:ascii="Cambria" w:hAnsi="Cambria"/>
          <w:lang w:val="en-GB"/>
        </w:rPr>
        <w:t>s</w:t>
      </w:r>
      <w:r w:rsidRPr="005A42C4">
        <w:rPr>
          <w:rFonts w:ascii="Cambria" w:hAnsi="Cambria"/>
          <w:lang w:val="en-GB"/>
        </w:rPr>
        <w:t xml:space="preserve"> with the deadlines set forth in section 3 on the reporting process, </w:t>
      </w:r>
      <w:r w:rsidR="00DD3B1C" w:rsidRPr="005A42C4">
        <w:rPr>
          <w:rFonts w:ascii="Cambria" w:hAnsi="Cambria"/>
          <w:lang w:val="en-GB"/>
        </w:rPr>
        <w:t xml:space="preserve">the </w:t>
      </w:r>
      <w:r w:rsidRPr="005A42C4">
        <w:rPr>
          <w:rFonts w:ascii="Cambria" w:hAnsi="Cambria"/>
          <w:lang w:val="en-GB"/>
        </w:rPr>
        <w:t>entities shall submit data by the provided deadlines</w:t>
      </w:r>
      <w:r w:rsidR="00DD3B1C" w:rsidRPr="005A42C4">
        <w:rPr>
          <w:rFonts w:ascii="Cambria" w:hAnsi="Cambria"/>
          <w:lang w:val="en-GB"/>
        </w:rPr>
        <w:t xml:space="preserve"> but </w:t>
      </w:r>
      <w:r w:rsidRPr="005A42C4">
        <w:rPr>
          <w:rFonts w:ascii="Cambria" w:hAnsi="Cambria"/>
          <w:lang w:val="en-GB"/>
        </w:rPr>
        <w:t>a</w:t>
      </w:r>
      <w:r w:rsidR="00D9559B" w:rsidRPr="005A42C4">
        <w:rPr>
          <w:rFonts w:ascii="Cambria" w:hAnsi="Cambria"/>
          <w:lang w:val="en-GB"/>
        </w:rPr>
        <w:t>n updated report could have to be submitted if material changes occur as a result of the formal validation framework.</w:t>
      </w:r>
    </w:p>
    <w:p w14:paraId="64420412" w14:textId="77777777" w:rsidR="00E842CC" w:rsidRPr="005A42C4" w:rsidRDefault="007D18F0" w:rsidP="009474F1">
      <w:pPr>
        <w:rPr>
          <w:rFonts w:ascii="Cambria" w:hAnsi="Cambria"/>
          <w:lang w:val="en-GB"/>
        </w:rPr>
      </w:pPr>
      <w:r w:rsidRPr="005A42C4">
        <w:rPr>
          <w:rFonts w:ascii="Cambria" w:hAnsi="Cambria"/>
          <w:lang w:val="en-GB"/>
        </w:rPr>
        <w:t xml:space="preserve">While the SRB has made an effort to minimise duplicate reporting, there are still data points requested in the LDR which are already requested in COREP and FINREP reporting. The SRB has identified these shared data points in the guidance below and requests that </w:t>
      </w:r>
      <w:r w:rsidR="003E5BD0" w:rsidRPr="005A42C4">
        <w:rPr>
          <w:rFonts w:ascii="Cambria" w:hAnsi="Cambria"/>
          <w:lang w:val="en-GB"/>
        </w:rPr>
        <w:t>entities</w:t>
      </w:r>
      <w:r w:rsidRPr="005A42C4">
        <w:rPr>
          <w:rFonts w:ascii="Cambria" w:hAnsi="Cambria"/>
          <w:lang w:val="en-GB"/>
        </w:rPr>
        <w:t xml:space="preserve"> ensure that the amounts reported are identical.</w:t>
      </w:r>
    </w:p>
    <w:p w14:paraId="53A30566" w14:textId="77777777" w:rsidR="00CA2C6A" w:rsidRPr="005A42C4" w:rsidRDefault="00CA2C6A" w:rsidP="00E4539A">
      <w:pPr>
        <w:pStyle w:val="Heading3"/>
        <w:numPr>
          <w:ilvl w:val="0"/>
          <w:numId w:val="19"/>
        </w:numPr>
        <w:ind w:left="567" w:hanging="567"/>
        <w:rPr>
          <w:rFonts w:ascii="Cambria" w:hAnsi="Cambria"/>
          <w:lang w:val="en-GB"/>
        </w:rPr>
      </w:pPr>
      <w:bookmarkStart w:id="8" w:name="_Toc12973012"/>
      <w:bookmarkStart w:id="9" w:name="_Toc13755742"/>
      <w:r w:rsidRPr="005A42C4">
        <w:rPr>
          <w:rFonts w:ascii="Cambria" w:hAnsi="Cambria"/>
          <w:lang w:val="en-GB"/>
        </w:rPr>
        <w:lastRenderedPageBreak/>
        <w:t>Reporting Process</w:t>
      </w:r>
      <w:bookmarkEnd w:id="8"/>
      <w:bookmarkEnd w:id="9"/>
    </w:p>
    <w:p w14:paraId="553C0D89" w14:textId="3134CE73" w:rsidR="00CA2C6A" w:rsidRPr="00AF0E0E" w:rsidRDefault="009202A4" w:rsidP="005A42C4">
      <w:pPr>
        <w:rPr>
          <w:lang w:val="en-GB"/>
        </w:rPr>
      </w:pPr>
      <w:r w:rsidRPr="005A42C4">
        <w:rPr>
          <w:rFonts w:ascii="Cambria" w:hAnsi="Cambria"/>
          <w:lang w:val="en-GB"/>
        </w:rPr>
        <w:t xml:space="preserve">The reporting frequency for the liability data is set to </w:t>
      </w:r>
      <w:r w:rsidR="00CA2C6A" w:rsidRPr="005A42C4">
        <w:rPr>
          <w:rFonts w:ascii="Cambria" w:hAnsi="Cambria"/>
          <w:lang w:val="en-GB"/>
        </w:rPr>
        <w:t>a yearly basis</w:t>
      </w:r>
      <w:r w:rsidRPr="005A42C4">
        <w:rPr>
          <w:rFonts w:ascii="Cambria" w:hAnsi="Cambria"/>
          <w:lang w:val="en-GB"/>
        </w:rPr>
        <w:t>, for the situation as it stands at 31 December of each year</w:t>
      </w:r>
      <w:r w:rsidR="00CA2C6A" w:rsidRPr="005A42C4">
        <w:rPr>
          <w:rFonts w:ascii="Cambria" w:hAnsi="Cambria"/>
          <w:lang w:val="en-GB"/>
        </w:rPr>
        <w:t>.</w:t>
      </w:r>
      <w:r w:rsidR="00A66F7B" w:rsidRPr="005A42C4">
        <w:rPr>
          <w:rFonts w:ascii="Cambria" w:hAnsi="Cambria"/>
          <w:lang w:val="en-GB"/>
        </w:rPr>
        <w:t xml:space="preserve"> </w:t>
      </w:r>
      <w:r w:rsidRPr="005A42C4">
        <w:rPr>
          <w:rFonts w:ascii="Cambria" w:hAnsi="Cambria"/>
          <w:lang w:val="en-GB"/>
        </w:rPr>
        <w:t>The deadline for submission is</w:t>
      </w:r>
      <w:r w:rsidR="00673BB1" w:rsidRPr="005A42C4">
        <w:rPr>
          <w:rFonts w:ascii="Cambria" w:hAnsi="Cambria"/>
          <w:lang w:val="en-GB"/>
        </w:rPr>
        <w:t xml:space="preserve"> fixed at </w:t>
      </w:r>
      <w:r w:rsidR="00070ED2" w:rsidRPr="005A42C4">
        <w:rPr>
          <w:rFonts w:ascii="Cambria" w:hAnsi="Cambria"/>
          <w:lang w:val="en-GB"/>
        </w:rPr>
        <w:t>31</w:t>
      </w:r>
      <w:r w:rsidR="00673BB1" w:rsidRPr="005A42C4">
        <w:rPr>
          <w:rFonts w:ascii="Cambria" w:hAnsi="Cambria"/>
          <w:lang w:val="en-GB"/>
        </w:rPr>
        <w:t xml:space="preserve"> March. </w:t>
      </w:r>
    </w:p>
    <w:p w14:paraId="7BE02C10" w14:textId="77777777" w:rsidR="00C8156C" w:rsidRPr="005A42C4" w:rsidRDefault="00C8156C" w:rsidP="009474F1">
      <w:pPr>
        <w:rPr>
          <w:rFonts w:ascii="Cambria" w:hAnsi="Cambria"/>
          <w:lang w:val="en-GB"/>
        </w:rPr>
      </w:pPr>
    </w:p>
    <w:p w14:paraId="62076636" w14:textId="3C5A2278" w:rsidR="00C8156C" w:rsidRPr="005A42C4" w:rsidRDefault="00C8156C" w:rsidP="009474F1">
      <w:pPr>
        <w:rPr>
          <w:rFonts w:ascii="Cambria" w:hAnsi="Cambria"/>
          <w:lang w:val="en-GB"/>
        </w:rPr>
      </w:pPr>
      <w:r w:rsidRPr="005A42C4">
        <w:rPr>
          <w:rFonts w:ascii="Cambria" w:hAnsi="Cambria"/>
          <w:lang w:val="en-GB"/>
        </w:rPr>
        <w:t xml:space="preserve">Notwithstanding these provisions, the SRB or NRA can request the information at any time it deems </w:t>
      </w:r>
      <w:r w:rsidR="00AD527A" w:rsidRPr="005A42C4">
        <w:rPr>
          <w:rFonts w:ascii="Cambria" w:hAnsi="Cambria"/>
          <w:lang w:val="en-GB"/>
        </w:rPr>
        <w:t xml:space="preserve">necessary and/or deviate from the above </w:t>
      </w:r>
      <w:r w:rsidR="009F73C8" w:rsidRPr="005A42C4">
        <w:rPr>
          <w:rFonts w:ascii="Cambria" w:hAnsi="Cambria"/>
          <w:lang w:val="en-GB"/>
        </w:rPr>
        <w:t xml:space="preserve">reporting </w:t>
      </w:r>
      <w:r w:rsidR="0055568E" w:rsidRPr="005A42C4">
        <w:rPr>
          <w:rFonts w:ascii="Cambria" w:hAnsi="Cambria"/>
          <w:lang w:val="en-GB"/>
        </w:rPr>
        <w:t xml:space="preserve">date and </w:t>
      </w:r>
      <w:r w:rsidR="00AD527A" w:rsidRPr="005A42C4">
        <w:rPr>
          <w:rFonts w:ascii="Cambria" w:hAnsi="Cambria"/>
          <w:lang w:val="en-GB"/>
        </w:rPr>
        <w:t xml:space="preserve">deadline. </w:t>
      </w:r>
      <w:r w:rsidR="009F73C8" w:rsidRPr="005A42C4">
        <w:rPr>
          <w:rFonts w:ascii="Cambria" w:hAnsi="Cambria"/>
          <w:lang w:val="en-GB"/>
        </w:rPr>
        <w:t>In times of crisis</w:t>
      </w:r>
      <w:r w:rsidR="00AC044E" w:rsidRPr="005A42C4">
        <w:rPr>
          <w:rFonts w:ascii="Cambria" w:hAnsi="Cambria"/>
          <w:lang w:val="en-GB"/>
        </w:rPr>
        <w:t>,</w:t>
      </w:r>
      <w:r w:rsidR="009F73C8" w:rsidRPr="005A42C4">
        <w:rPr>
          <w:rFonts w:ascii="Cambria" w:hAnsi="Cambria"/>
          <w:lang w:val="en-GB"/>
        </w:rPr>
        <w:t xml:space="preserve"> deadlines might be very close to the reporting date.</w:t>
      </w:r>
      <w:r w:rsidR="00AC044E" w:rsidRPr="005A42C4">
        <w:rPr>
          <w:rFonts w:ascii="Cambria" w:hAnsi="Cambria"/>
          <w:lang w:val="en-GB"/>
        </w:rPr>
        <w:t xml:space="preserve"> It is recognized that such short deadlines are ambitious and require the development of adequate IT projects from the individual entities and groups. No general deadline to meet such requirements is set at this point in time, as compliance will depend on several </w:t>
      </w:r>
      <w:r w:rsidR="00921151" w:rsidRPr="005A42C4">
        <w:rPr>
          <w:rFonts w:ascii="Cambria" w:hAnsi="Cambria"/>
          <w:lang w:val="en-GB"/>
        </w:rPr>
        <w:t>elements, such as the complexity of the institution, its current IT structure, etc. The IRT may follow up on the developments in this field and where necessary provide more detailed guidance.</w:t>
      </w:r>
      <w:r w:rsidR="00D95101">
        <w:rPr>
          <w:rFonts w:ascii="Cambria" w:hAnsi="Cambria"/>
          <w:lang w:val="en-GB"/>
        </w:rPr>
        <w:t xml:space="preserve"> Nevertheless, </w:t>
      </w:r>
      <w:r w:rsidR="00D95101" w:rsidRPr="005A42C4">
        <w:rPr>
          <w:rFonts w:ascii="Cambria" w:hAnsi="Cambria"/>
          <w:b/>
          <w:lang w:val="en-GB"/>
        </w:rPr>
        <w:t xml:space="preserve">banks are strongly encouraged to automate the </w:t>
      </w:r>
      <w:r w:rsidR="00D95101">
        <w:rPr>
          <w:rFonts w:ascii="Cambria" w:hAnsi="Cambria"/>
          <w:b/>
          <w:lang w:val="en-GB"/>
        </w:rPr>
        <w:t>LDR reporting</w:t>
      </w:r>
      <w:r w:rsidR="00D95101" w:rsidRPr="005A42C4">
        <w:rPr>
          <w:rFonts w:ascii="Cambria" w:hAnsi="Cambria"/>
          <w:b/>
          <w:lang w:val="en-GB"/>
        </w:rPr>
        <w:t xml:space="preserve"> process as soon as possible</w:t>
      </w:r>
      <w:r w:rsidR="00D95101">
        <w:rPr>
          <w:rFonts w:ascii="Cambria" w:hAnsi="Cambria"/>
          <w:b/>
          <w:lang w:val="en-GB"/>
        </w:rPr>
        <w:t xml:space="preserve">, </w:t>
      </w:r>
      <w:r w:rsidR="00D95101" w:rsidRPr="005A42C4">
        <w:rPr>
          <w:rFonts w:ascii="Cambria" w:hAnsi="Cambria"/>
          <w:lang w:val="en-GB"/>
        </w:rPr>
        <w:t xml:space="preserve">despite expected future changes to the reporting requirements resulting from changes in legislation </w:t>
      </w:r>
      <w:r w:rsidR="000B1D0F">
        <w:rPr>
          <w:rFonts w:ascii="Cambria" w:hAnsi="Cambria"/>
          <w:lang w:val="en-GB"/>
        </w:rPr>
        <w:t>or otherwise</w:t>
      </w:r>
      <w:r w:rsidR="00D95101" w:rsidRPr="005A42C4">
        <w:rPr>
          <w:rFonts w:ascii="Cambria" w:hAnsi="Cambria"/>
          <w:b/>
          <w:lang w:val="en-GB"/>
        </w:rPr>
        <w:t>.</w:t>
      </w:r>
    </w:p>
    <w:p w14:paraId="50E8FDF5" w14:textId="77777777" w:rsidR="00673BB1" w:rsidRPr="005A42C4" w:rsidRDefault="00673BB1" w:rsidP="009474F1">
      <w:pPr>
        <w:rPr>
          <w:rFonts w:ascii="Cambria" w:hAnsi="Cambria"/>
          <w:lang w:val="en-GB"/>
        </w:rPr>
      </w:pPr>
    </w:p>
    <w:p w14:paraId="15637FC4" w14:textId="77777777" w:rsidR="00B27610" w:rsidRPr="005A42C4" w:rsidRDefault="00A8758A" w:rsidP="007C54D2">
      <w:pPr>
        <w:rPr>
          <w:rFonts w:ascii="Cambria" w:hAnsi="Cambria"/>
          <w:lang w:val="en-GB"/>
        </w:rPr>
      </w:pPr>
      <w:r w:rsidRPr="005A42C4">
        <w:rPr>
          <w:rFonts w:ascii="Cambria" w:hAnsi="Cambria"/>
          <w:lang w:val="en-GB"/>
        </w:rPr>
        <w:t>For entities incorporated within the Banking Union, r</w:t>
      </w:r>
      <w:r w:rsidR="009202A4" w:rsidRPr="005A42C4">
        <w:rPr>
          <w:rFonts w:ascii="Cambria" w:hAnsi="Cambria"/>
          <w:lang w:val="en-GB"/>
        </w:rPr>
        <w:t xml:space="preserve">eports shall be submitted to the NRA responsible for the jurisdiction </w:t>
      </w:r>
      <w:r w:rsidR="00C8156C" w:rsidRPr="005A42C4">
        <w:rPr>
          <w:rFonts w:ascii="Cambria" w:hAnsi="Cambria"/>
          <w:lang w:val="en-GB"/>
        </w:rPr>
        <w:t>i</w:t>
      </w:r>
      <w:r w:rsidR="009202A4" w:rsidRPr="005A42C4">
        <w:rPr>
          <w:rFonts w:ascii="Cambria" w:hAnsi="Cambria"/>
          <w:lang w:val="en-GB"/>
        </w:rPr>
        <w:t xml:space="preserve">n which </w:t>
      </w:r>
      <w:r w:rsidRPr="005A42C4">
        <w:rPr>
          <w:rFonts w:ascii="Cambria" w:hAnsi="Cambria"/>
          <w:lang w:val="en-GB"/>
        </w:rPr>
        <w:t xml:space="preserve">it is </w:t>
      </w:r>
      <w:r w:rsidR="00C8156C" w:rsidRPr="005A42C4">
        <w:rPr>
          <w:rFonts w:ascii="Cambria" w:hAnsi="Cambria"/>
          <w:lang w:val="en-GB"/>
        </w:rPr>
        <w:t xml:space="preserve">incorporated. For entities incorporated in jurisdictions within the EU, yet outside of the Banking Union, the </w:t>
      </w:r>
      <w:r w:rsidR="00AD527A" w:rsidRPr="005A42C4">
        <w:rPr>
          <w:rFonts w:ascii="Cambria" w:hAnsi="Cambria"/>
          <w:lang w:val="en-GB"/>
        </w:rPr>
        <w:t xml:space="preserve">reports </w:t>
      </w:r>
      <w:r w:rsidRPr="005A42C4">
        <w:rPr>
          <w:rFonts w:ascii="Cambria" w:hAnsi="Cambria"/>
          <w:lang w:val="en-GB"/>
        </w:rPr>
        <w:t xml:space="preserve">shall </w:t>
      </w:r>
      <w:r w:rsidR="00AD527A" w:rsidRPr="005A42C4">
        <w:rPr>
          <w:rFonts w:ascii="Cambria" w:hAnsi="Cambria"/>
          <w:lang w:val="en-GB"/>
        </w:rPr>
        <w:t>be submitted to the NRA of the Banking Union jurisdiction in which the (ultimate) parent entity is incorporated.</w:t>
      </w:r>
      <w:r w:rsidRPr="005A42C4">
        <w:rPr>
          <w:rFonts w:ascii="Cambria" w:hAnsi="Cambria"/>
          <w:lang w:val="en-GB"/>
        </w:rPr>
        <w:t xml:space="preserve"> Subsequently, the NRA will transmit the report to the SRB.</w:t>
      </w:r>
      <w:bookmarkStart w:id="10" w:name="_Toc464808334"/>
      <w:bookmarkStart w:id="11" w:name="_Toc464809713"/>
      <w:bookmarkStart w:id="12" w:name="_Toc464828007"/>
      <w:bookmarkStart w:id="13" w:name="_Toc464828082"/>
      <w:bookmarkStart w:id="14" w:name="_Toc464828157"/>
      <w:bookmarkStart w:id="15" w:name="_Toc464808335"/>
      <w:bookmarkStart w:id="16" w:name="_Toc464809714"/>
      <w:bookmarkStart w:id="17" w:name="_Toc464828008"/>
      <w:bookmarkStart w:id="18" w:name="_Toc464828083"/>
      <w:bookmarkStart w:id="19" w:name="_Toc464828158"/>
      <w:bookmarkStart w:id="20" w:name="_Toc464808336"/>
      <w:bookmarkStart w:id="21" w:name="_Toc464809715"/>
      <w:bookmarkStart w:id="22" w:name="_Toc464828009"/>
      <w:bookmarkStart w:id="23" w:name="_Toc464828084"/>
      <w:bookmarkStart w:id="24" w:name="_Toc464828159"/>
      <w:bookmarkStart w:id="25" w:name="_Toc464808337"/>
      <w:bookmarkStart w:id="26" w:name="_Toc464809716"/>
      <w:bookmarkStart w:id="27" w:name="_Toc464828010"/>
      <w:bookmarkStart w:id="28" w:name="_Toc464828085"/>
      <w:bookmarkStart w:id="29" w:name="_Toc464828160"/>
      <w:bookmarkStart w:id="30" w:name="_Toc464808338"/>
      <w:bookmarkStart w:id="31" w:name="_Toc464809717"/>
      <w:bookmarkStart w:id="32" w:name="_Toc464828011"/>
      <w:bookmarkStart w:id="33" w:name="_Toc464828086"/>
      <w:bookmarkStart w:id="34" w:name="_Toc464828161"/>
      <w:bookmarkStart w:id="35" w:name="_Toc464808339"/>
      <w:bookmarkStart w:id="36" w:name="_Toc464809718"/>
      <w:bookmarkStart w:id="37" w:name="_Toc464828012"/>
      <w:bookmarkStart w:id="38" w:name="_Toc464828087"/>
      <w:bookmarkStart w:id="39" w:name="_Toc464828162"/>
      <w:bookmarkStart w:id="40" w:name="_Toc464808340"/>
      <w:bookmarkStart w:id="41" w:name="_Toc464809719"/>
      <w:bookmarkStart w:id="42" w:name="_Toc464828013"/>
      <w:bookmarkStart w:id="43" w:name="_Toc464828088"/>
      <w:bookmarkStart w:id="44" w:name="_Toc464828163"/>
      <w:bookmarkStart w:id="45" w:name="_Toc464808341"/>
      <w:bookmarkStart w:id="46" w:name="_Toc464809720"/>
      <w:bookmarkStart w:id="47" w:name="_Toc464828014"/>
      <w:bookmarkStart w:id="48" w:name="_Toc464828089"/>
      <w:bookmarkStart w:id="49" w:name="_Toc464828164"/>
      <w:bookmarkStart w:id="50" w:name="_Toc464808342"/>
      <w:bookmarkStart w:id="51" w:name="_Toc464809721"/>
      <w:bookmarkStart w:id="52" w:name="_Toc464828015"/>
      <w:bookmarkStart w:id="53" w:name="_Toc464828090"/>
      <w:bookmarkStart w:id="54" w:name="_Toc464828165"/>
      <w:bookmarkStart w:id="55" w:name="_Toc464808343"/>
      <w:bookmarkStart w:id="56" w:name="_Toc464809722"/>
      <w:bookmarkStart w:id="57" w:name="_Toc464828016"/>
      <w:bookmarkStart w:id="58" w:name="_Toc464828091"/>
      <w:bookmarkStart w:id="59" w:name="_Toc464828166"/>
      <w:bookmarkStart w:id="60" w:name="_Toc464808344"/>
      <w:bookmarkStart w:id="61" w:name="_Toc464809723"/>
      <w:bookmarkStart w:id="62" w:name="_Toc464828017"/>
      <w:bookmarkStart w:id="63" w:name="_Toc464828092"/>
      <w:bookmarkStart w:id="64" w:name="_Toc464828167"/>
      <w:bookmarkStart w:id="65" w:name="_Toc464808345"/>
      <w:bookmarkStart w:id="66" w:name="_Toc464809724"/>
      <w:bookmarkStart w:id="67" w:name="_Toc464828018"/>
      <w:bookmarkStart w:id="68" w:name="_Toc464828093"/>
      <w:bookmarkStart w:id="69" w:name="_Toc464828168"/>
      <w:bookmarkStart w:id="70" w:name="_Toc464808346"/>
      <w:bookmarkStart w:id="71" w:name="_Toc464809725"/>
      <w:bookmarkStart w:id="72" w:name="_Toc464828019"/>
      <w:bookmarkStart w:id="73" w:name="_Toc464828094"/>
      <w:bookmarkStart w:id="74" w:name="_Toc464828169"/>
      <w:bookmarkStart w:id="75" w:name="_Toc464808347"/>
      <w:bookmarkStart w:id="76" w:name="_Toc464809726"/>
      <w:bookmarkStart w:id="77" w:name="_Toc464828020"/>
      <w:bookmarkStart w:id="78" w:name="_Toc464828095"/>
      <w:bookmarkStart w:id="79" w:name="_Toc464828170"/>
      <w:bookmarkStart w:id="80" w:name="_Toc464808348"/>
      <w:bookmarkStart w:id="81" w:name="_Toc464809727"/>
      <w:bookmarkStart w:id="82" w:name="_Toc464828021"/>
      <w:bookmarkStart w:id="83" w:name="_Toc464828096"/>
      <w:bookmarkStart w:id="84" w:name="_Toc464828171"/>
      <w:bookmarkStart w:id="85" w:name="_Toc464808349"/>
      <w:bookmarkStart w:id="86" w:name="_Toc464809728"/>
      <w:bookmarkStart w:id="87" w:name="_Toc464828022"/>
      <w:bookmarkStart w:id="88" w:name="_Toc464828097"/>
      <w:bookmarkStart w:id="89" w:name="_Toc464828172"/>
      <w:bookmarkStart w:id="90" w:name="_Toc464809729"/>
      <w:bookmarkStart w:id="91" w:name="_Toc464828023"/>
      <w:bookmarkStart w:id="92" w:name="_Toc464828098"/>
      <w:bookmarkStart w:id="93" w:name="_Toc464828173"/>
      <w:bookmarkStart w:id="94" w:name="_Toc464809754"/>
      <w:bookmarkStart w:id="95" w:name="_Toc464828048"/>
      <w:bookmarkStart w:id="96" w:name="_Toc464828123"/>
      <w:bookmarkStart w:id="97" w:name="_Toc46482819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5293AED" w14:textId="77777777" w:rsidR="007D18F0" w:rsidRPr="005A42C4" w:rsidRDefault="007D18F0" w:rsidP="007C54D2">
      <w:pPr>
        <w:rPr>
          <w:rFonts w:ascii="Cambria" w:hAnsi="Cambria"/>
          <w:lang w:val="en-GB"/>
        </w:rPr>
      </w:pPr>
    </w:p>
    <w:p w14:paraId="39C65CD5" w14:textId="7DF6049E" w:rsidR="007D18F0" w:rsidRPr="005A42C4" w:rsidRDefault="003E5BD0" w:rsidP="007C54D2">
      <w:pPr>
        <w:rPr>
          <w:rFonts w:ascii="Cambria" w:eastAsiaTheme="majorEastAsia" w:hAnsi="Cambria" w:cstheme="majorBidi"/>
          <w:sz w:val="24"/>
          <w:szCs w:val="24"/>
          <w:u w:val="single"/>
          <w:lang w:val="en-GB"/>
        </w:rPr>
      </w:pPr>
      <w:r w:rsidRPr="005A42C4">
        <w:rPr>
          <w:rFonts w:ascii="Cambria" w:hAnsi="Cambria"/>
          <w:lang w:val="en-GB"/>
        </w:rPr>
        <w:t xml:space="preserve">The European Banking Authority (EBA) published a revised Implementing Technical Standards (ITS) on resolution reporting. The elaboration of the reporting requirements for Liability data has been performed in collaboration with the SRB. To facilitate reporting by entities, the SRB has incorporated the minimum requirements under the EBA </w:t>
      </w:r>
      <w:r w:rsidR="0041717E" w:rsidRPr="005A42C4">
        <w:rPr>
          <w:rFonts w:ascii="Cambria" w:hAnsi="Cambria"/>
          <w:lang w:val="en-GB"/>
        </w:rPr>
        <w:t xml:space="preserve">Draft </w:t>
      </w:r>
      <w:r w:rsidRPr="005A42C4">
        <w:rPr>
          <w:rFonts w:ascii="Cambria" w:hAnsi="Cambria"/>
          <w:lang w:val="en-GB"/>
        </w:rPr>
        <w:t>ITS</w:t>
      </w:r>
      <w:r w:rsidR="0041717E" w:rsidRPr="005A42C4">
        <w:rPr>
          <w:rStyle w:val="FootnoteReference"/>
          <w:rFonts w:ascii="Cambria" w:hAnsi="Cambria"/>
          <w:lang w:val="en-GB"/>
        </w:rPr>
        <w:footnoteReference w:id="6"/>
      </w:r>
      <w:r w:rsidRPr="005A42C4">
        <w:rPr>
          <w:rFonts w:ascii="Cambria" w:hAnsi="Cambria"/>
          <w:lang w:val="en-GB"/>
        </w:rPr>
        <w:t xml:space="preserve"> in its revised 2019 LDR template and the accompanying guidance. As such, </w:t>
      </w:r>
      <w:r w:rsidR="00F12A9C">
        <w:rPr>
          <w:rFonts w:ascii="Cambria" w:hAnsi="Cambria"/>
          <w:lang w:val="en-GB"/>
        </w:rPr>
        <w:t xml:space="preserve">liability </w:t>
      </w:r>
      <w:r w:rsidRPr="005A42C4">
        <w:rPr>
          <w:rFonts w:ascii="Cambria" w:hAnsi="Cambria"/>
          <w:lang w:val="en-GB"/>
        </w:rPr>
        <w:t xml:space="preserve">data reported to the SRB will then be transferred to the EBA, thereby avoiding duplicate reporting by entities under SRB remit. </w:t>
      </w:r>
    </w:p>
    <w:p w14:paraId="09E41CD7" w14:textId="77777777" w:rsidR="00E20340" w:rsidRPr="005A42C4" w:rsidRDefault="00E20340" w:rsidP="00E4539A">
      <w:pPr>
        <w:pStyle w:val="Heading3"/>
        <w:numPr>
          <w:ilvl w:val="0"/>
          <w:numId w:val="19"/>
        </w:numPr>
        <w:ind w:left="567" w:hanging="567"/>
        <w:rPr>
          <w:rFonts w:ascii="Cambria" w:hAnsi="Cambria"/>
          <w:lang w:val="en-GB"/>
        </w:rPr>
      </w:pPr>
      <w:bookmarkStart w:id="98" w:name="_Toc12973013"/>
      <w:bookmarkStart w:id="99" w:name="_Toc13755743"/>
      <w:r w:rsidRPr="005A42C4">
        <w:rPr>
          <w:rFonts w:ascii="Cambria" w:hAnsi="Cambria"/>
          <w:lang w:val="en-GB"/>
        </w:rPr>
        <w:t>Maturity Breakdown</w:t>
      </w:r>
      <w:r w:rsidR="004F2346" w:rsidRPr="005A42C4">
        <w:rPr>
          <w:rFonts w:ascii="Cambria" w:hAnsi="Cambria"/>
          <w:lang w:val="en-GB"/>
        </w:rPr>
        <w:t>s</w:t>
      </w:r>
      <w:bookmarkEnd w:id="98"/>
      <w:bookmarkEnd w:id="99"/>
    </w:p>
    <w:p w14:paraId="0F332632" w14:textId="77777777" w:rsidR="00E20340" w:rsidRPr="005A42C4" w:rsidRDefault="00E20340" w:rsidP="009474F1">
      <w:pPr>
        <w:rPr>
          <w:rFonts w:ascii="Cambria" w:hAnsi="Cambria"/>
          <w:lang w:val="en-GB"/>
        </w:rPr>
      </w:pPr>
      <w:r w:rsidRPr="005A42C4">
        <w:rPr>
          <w:rFonts w:ascii="Cambria" w:hAnsi="Cambria"/>
          <w:lang w:val="en-GB"/>
        </w:rPr>
        <w:t>A breakdown of maturities is required, tak</w:t>
      </w:r>
      <w:r w:rsidR="006466B7" w:rsidRPr="005A42C4">
        <w:rPr>
          <w:rFonts w:ascii="Cambria" w:hAnsi="Cambria"/>
          <w:lang w:val="en-GB"/>
        </w:rPr>
        <w:t>ing</w:t>
      </w:r>
      <w:r w:rsidRPr="005A42C4">
        <w:rPr>
          <w:rFonts w:ascii="Cambria" w:hAnsi="Cambria"/>
          <w:lang w:val="en-GB"/>
        </w:rPr>
        <w:t xml:space="preserve"> into account that the maturity structure is important information that should feed into resolution planning. As such, the </w:t>
      </w:r>
      <w:r w:rsidRPr="005A42C4">
        <w:rPr>
          <w:rFonts w:ascii="Cambria" w:hAnsi="Cambria"/>
          <w:b/>
          <w:lang w:val="en-GB"/>
        </w:rPr>
        <w:t>remaining maturity (and not the initial maturity)</w:t>
      </w:r>
      <w:r w:rsidRPr="005A42C4">
        <w:rPr>
          <w:rFonts w:ascii="Cambria" w:hAnsi="Cambria"/>
          <w:lang w:val="en-GB"/>
        </w:rPr>
        <w:t xml:space="preserve"> is split into:</w:t>
      </w:r>
    </w:p>
    <w:p w14:paraId="384D0795" w14:textId="77777777" w:rsidR="00E20340" w:rsidRPr="005A42C4" w:rsidRDefault="00E20340" w:rsidP="009474F1">
      <w:pPr>
        <w:pStyle w:val="ListParagraph"/>
        <w:numPr>
          <w:ilvl w:val="0"/>
          <w:numId w:val="9"/>
        </w:numPr>
        <w:spacing w:line="276" w:lineRule="auto"/>
        <w:rPr>
          <w:sz w:val="20"/>
          <w:szCs w:val="22"/>
          <w:lang w:val="en-GB"/>
        </w:rPr>
      </w:pPr>
      <w:r w:rsidRPr="005A42C4">
        <w:rPr>
          <w:sz w:val="20"/>
          <w:szCs w:val="22"/>
          <w:lang w:val="en-GB"/>
        </w:rPr>
        <w:t>Less than or equal to 1 month;</w:t>
      </w:r>
    </w:p>
    <w:p w14:paraId="7E28BA8A" w14:textId="77777777" w:rsidR="00E20340" w:rsidRPr="005A42C4" w:rsidRDefault="00E20340" w:rsidP="009474F1">
      <w:pPr>
        <w:pStyle w:val="ListParagraph"/>
        <w:numPr>
          <w:ilvl w:val="0"/>
          <w:numId w:val="9"/>
        </w:numPr>
        <w:spacing w:line="276" w:lineRule="auto"/>
        <w:rPr>
          <w:sz w:val="20"/>
          <w:szCs w:val="22"/>
          <w:lang w:val="en-GB"/>
        </w:rPr>
      </w:pPr>
      <w:r w:rsidRPr="005A42C4">
        <w:rPr>
          <w:sz w:val="20"/>
          <w:szCs w:val="22"/>
          <w:lang w:val="en-GB"/>
        </w:rPr>
        <w:t>More than 1 month and less than 1 year;</w:t>
      </w:r>
    </w:p>
    <w:p w14:paraId="7B89310C" w14:textId="77777777" w:rsidR="00E20340" w:rsidRPr="005A42C4" w:rsidRDefault="00E20340" w:rsidP="009474F1">
      <w:pPr>
        <w:pStyle w:val="ListParagraph"/>
        <w:numPr>
          <w:ilvl w:val="0"/>
          <w:numId w:val="9"/>
        </w:numPr>
        <w:spacing w:line="276" w:lineRule="auto"/>
        <w:rPr>
          <w:sz w:val="20"/>
          <w:szCs w:val="22"/>
          <w:lang w:val="en-GB"/>
        </w:rPr>
      </w:pPr>
      <w:r w:rsidRPr="005A42C4">
        <w:rPr>
          <w:sz w:val="20"/>
          <w:szCs w:val="22"/>
          <w:lang w:val="en-GB"/>
        </w:rPr>
        <w:t>Equal to or more than 1 year and less than 2 years;</w:t>
      </w:r>
    </w:p>
    <w:p w14:paraId="592B8F5F" w14:textId="77777777" w:rsidR="00E20340" w:rsidRPr="005A42C4" w:rsidRDefault="00E20340" w:rsidP="009474F1">
      <w:pPr>
        <w:pStyle w:val="ListParagraph"/>
        <w:numPr>
          <w:ilvl w:val="0"/>
          <w:numId w:val="9"/>
        </w:numPr>
        <w:spacing w:line="276" w:lineRule="auto"/>
        <w:rPr>
          <w:sz w:val="20"/>
          <w:szCs w:val="22"/>
          <w:lang w:val="en-GB"/>
        </w:rPr>
      </w:pPr>
      <w:r w:rsidRPr="005A42C4">
        <w:rPr>
          <w:sz w:val="20"/>
          <w:szCs w:val="22"/>
          <w:lang w:val="en-GB"/>
        </w:rPr>
        <w:t>Equal to or more than 2 years.</w:t>
      </w:r>
    </w:p>
    <w:p w14:paraId="77280CA5" w14:textId="77777777" w:rsidR="00EF5494" w:rsidRPr="005A42C4" w:rsidRDefault="00E20340" w:rsidP="009474F1">
      <w:pPr>
        <w:rPr>
          <w:rFonts w:ascii="Cambria" w:hAnsi="Cambria"/>
          <w:lang w:val="en-GB"/>
        </w:rPr>
      </w:pPr>
      <w:r w:rsidRPr="005A42C4">
        <w:rPr>
          <w:rFonts w:ascii="Cambria" w:hAnsi="Cambria"/>
          <w:lang w:val="en-GB"/>
        </w:rPr>
        <w:t xml:space="preserve">In line with the regulation, the remaining maturity is defined as the time until the contractual maturity or, when there is an </w:t>
      </w:r>
      <w:r w:rsidR="009474F1" w:rsidRPr="005A42C4">
        <w:rPr>
          <w:rFonts w:ascii="Cambria" w:hAnsi="Cambria"/>
          <w:lang w:val="en-GB"/>
        </w:rPr>
        <w:t>e</w:t>
      </w:r>
      <w:r w:rsidRPr="005A42C4">
        <w:rPr>
          <w:rFonts w:ascii="Cambria" w:hAnsi="Cambria"/>
          <w:lang w:val="en-GB"/>
        </w:rPr>
        <w:t>mbedded</w:t>
      </w:r>
      <w:r w:rsidR="009474F1" w:rsidRPr="005A42C4">
        <w:rPr>
          <w:rFonts w:ascii="Cambria" w:hAnsi="Cambria"/>
          <w:lang w:val="en-GB"/>
        </w:rPr>
        <w:t>/implicit</w:t>
      </w:r>
      <w:r w:rsidRPr="005A42C4">
        <w:rPr>
          <w:rFonts w:ascii="Cambria" w:hAnsi="Cambria"/>
          <w:lang w:val="en-GB"/>
        </w:rPr>
        <w:t xml:space="preserve"> right </w:t>
      </w:r>
      <w:r w:rsidR="00D8617E" w:rsidRPr="005A42C4">
        <w:rPr>
          <w:rFonts w:ascii="Cambria" w:hAnsi="Cambria"/>
          <w:lang w:val="en-GB"/>
        </w:rPr>
        <w:t xml:space="preserve">for the holder of the instruments </w:t>
      </w:r>
      <w:r w:rsidR="009474F1" w:rsidRPr="005A42C4">
        <w:rPr>
          <w:rFonts w:ascii="Cambria" w:hAnsi="Cambria"/>
          <w:lang w:val="en-GB"/>
        </w:rPr>
        <w:t xml:space="preserve">(whether contractual or legal) </w:t>
      </w:r>
      <w:r w:rsidRPr="005A42C4">
        <w:rPr>
          <w:rFonts w:ascii="Cambria" w:hAnsi="Cambria"/>
          <w:lang w:val="en-GB"/>
        </w:rPr>
        <w:t>to early reimbursement, until the first date where such a right arises.</w:t>
      </w:r>
      <w:r w:rsidR="00727198" w:rsidRPr="005A42C4">
        <w:rPr>
          <w:rFonts w:ascii="Cambria" w:hAnsi="Cambria"/>
          <w:lang w:val="en-GB"/>
        </w:rPr>
        <w:t xml:space="preserve"> This does however not apply to </w:t>
      </w:r>
      <w:r w:rsidR="00BF6B48" w:rsidRPr="005A42C4">
        <w:rPr>
          <w:rFonts w:ascii="Cambria" w:hAnsi="Cambria"/>
          <w:lang w:val="en-GB"/>
        </w:rPr>
        <w:t xml:space="preserve">liabilities with </w:t>
      </w:r>
      <w:r w:rsidR="00727198" w:rsidRPr="005A42C4">
        <w:rPr>
          <w:rFonts w:ascii="Cambria" w:hAnsi="Cambria"/>
          <w:lang w:val="en-GB"/>
        </w:rPr>
        <w:t>call options which give the right to the issuer to make an early reimbursement.</w:t>
      </w:r>
    </w:p>
    <w:p w14:paraId="567A0DAD" w14:textId="77777777" w:rsidR="00EF5494" w:rsidRPr="005A42C4" w:rsidRDefault="00EF5494" w:rsidP="009474F1">
      <w:pPr>
        <w:rPr>
          <w:rFonts w:ascii="Cambria" w:hAnsi="Cambria"/>
          <w:lang w:val="en-GB"/>
        </w:rPr>
      </w:pPr>
      <w:r w:rsidRPr="005A42C4">
        <w:rPr>
          <w:rFonts w:ascii="Cambria" w:hAnsi="Cambria"/>
          <w:lang w:val="en-GB"/>
        </w:rPr>
        <w:t>In some specific cases, the maturity of a given instrument could depend on external factors, on which the institution has little or no influence. In such cases, the first date on which such events can lead to reimbursement shall be considered the earliest redemption date.</w:t>
      </w:r>
    </w:p>
    <w:p w14:paraId="236B89E1" w14:textId="77777777" w:rsidR="00727198" w:rsidRPr="005A42C4" w:rsidRDefault="00EF5494" w:rsidP="009474F1">
      <w:pPr>
        <w:rPr>
          <w:rFonts w:ascii="Cambria" w:hAnsi="Cambria"/>
          <w:lang w:val="en-GB"/>
        </w:rPr>
      </w:pPr>
      <w:r w:rsidRPr="005A42C4">
        <w:rPr>
          <w:rFonts w:ascii="Cambria" w:hAnsi="Cambria"/>
          <w:lang w:val="en-GB"/>
        </w:rPr>
        <w:lastRenderedPageBreak/>
        <w:t>In other cases, contracts do not foresee any specific maturity date, such as on-sight or overnight deposits. In those cases, the liabilities shall be considered as having a possible maturity on the first possible date, i.e. next/one day.</w:t>
      </w:r>
    </w:p>
    <w:p w14:paraId="6F954305" w14:textId="77777777" w:rsidR="00115A34" w:rsidRPr="005A42C4" w:rsidRDefault="00115A34" w:rsidP="009474F1">
      <w:pPr>
        <w:rPr>
          <w:rFonts w:ascii="Cambria" w:hAnsi="Cambria"/>
          <w:lang w:val="en-GB"/>
        </w:rPr>
      </w:pPr>
      <w:r w:rsidRPr="005A42C4">
        <w:rPr>
          <w:rFonts w:ascii="Cambria" w:hAnsi="Cambria"/>
          <w:lang w:val="en-GB"/>
        </w:rPr>
        <w:t>For deposits, the coverage by DGSD does not necessarily distinguish between the maturities that should be considered as covered if different maturities exist. As such, to split the non-covered part into maturity buckets, institutions should apply a pro rata approach for the total coverage and distribute the non-covered part accordingly over the maturity of the underlying deposits.</w:t>
      </w:r>
    </w:p>
    <w:p w14:paraId="4C38FF31" w14:textId="68E921A5" w:rsidR="00E20340" w:rsidRPr="005A42C4" w:rsidRDefault="009F73C8" w:rsidP="009474F1">
      <w:pPr>
        <w:rPr>
          <w:rFonts w:ascii="Cambria" w:hAnsi="Cambria"/>
          <w:lang w:val="en-GB"/>
        </w:rPr>
      </w:pPr>
      <w:r w:rsidRPr="005A42C4">
        <w:rPr>
          <w:rFonts w:ascii="Cambria" w:hAnsi="Cambria"/>
          <w:lang w:val="en-GB"/>
        </w:rPr>
        <w:t xml:space="preserve">As such, </w:t>
      </w:r>
      <w:r w:rsidR="00F17C2C" w:rsidRPr="005A42C4">
        <w:rPr>
          <w:rFonts w:ascii="Cambria" w:hAnsi="Cambria"/>
          <w:lang w:val="en-GB"/>
        </w:rPr>
        <w:t xml:space="preserve">both interest payments and </w:t>
      </w:r>
      <w:r w:rsidRPr="005A42C4">
        <w:rPr>
          <w:rFonts w:ascii="Cambria" w:hAnsi="Cambria"/>
          <w:lang w:val="en-GB"/>
        </w:rPr>
        <w:t xml:space="preserve">interim payments of principal should </w:t>
      </w:r>
      <w:r w:rsidR="005D62C4">
        <w:rPr>
          <w:rFonts w:ascii="Cambria" w:hAnsi="Cambria"/>
          <w:lang w:val="en-GB"/>
        </w:rPr>
        <w:t>theoretically</w:t>
      </w:r>
      <w:r w:rsidR="00F17C2C" w:rsidRPr="005A42C4">
        <w:rPr>
          <w:rFonts w:ascii="Cambria" w:hAnsi="Cambria"/>
          <w:lang w:val="en-GB"/>
        </w:rPr>
        <w:t xml:space="preserve"> </w:t>
      </w:r>
      <w:r w:rsidRPr="005A42C4">
        <w:rPr>
          <w:rFonts w:ascii="Cambria" w:hAnsi="Cambria"/>
          <w:lang w:val="en-GB"/>
        </w:rPr>
        <w:t>be split into the corresponding maturity buckets</w:t>
      </w:r>
      <w:r w:rsidR="00D24E8B" w:rsidRPr="005A42C4">
        <w:rPr>
          <w:rFonts w:ascii="Cambria" w:hAnsi="Cambria"/>
          <w:lang w:val="en-GB"/>
        </w:rPr>
        <w:t>.</w:t>
      </w:r>
    </w:p>
    <w:p w14:paraId="41A2D5B0" w14:textId="77777777" w:rsidR="00AF4CE6" w:rsidRPr="005A42C4" w:rsidRDefault="00AF4CE6" w:rsidP="00E4539A">
      <w:pPr>
        <w:pStyle w:val="Heading3"/>
        <w:numPr>
          <w:ilvl w:val="0"/>
          <w:numId w:val="19"/>
        </w:numPr>
        <w:ind w:left="567" w:hanging="567"/>
        <w:rPr>
          <w:rFonts w:ascii="Cambria" w:hAnsi="Cambria"/>
          <w:lang w:val="en-GB"/>
        </w:rPr>
      </w:pPr>
      <w:bookmarkStart w:id="100" w:name="_Toc12973014"/>
      <w:bookmarkStart w:id="101" w:name="_Toc13755744"/>
      <w:r w:rsidRPr="005A42C4">
        <w:rPr>
          <w:rFonts w:ascii="Cambria" w:hAnsi="Cambria"/>
          <w:lang w:val="en-GB"/>
        </w:rPr>
        <w:t>Amount</w:t>
      </w:r>
      <w:r w:rsidR="00635C84" w:rsidRPr="005A42C4">
        <w:rPr>
          <w:rFonts w:ascii="Cambria" w:hAnsi="Cambria"/>
          <w:lang w:val="en-GB"/>
        </w:rPr>
        <w:t xml:space="preserve"> Reporting</w:t>
      </w:r>
      <w:bookmarkEnd w:id="100"/>
      <w:bookmarkEnd w:id="101"/>
    </w:p>
    <w:p w14:paraId="1EECA771" w14:textId="3B81A446" w:rsidR="00AF4CE6" w:rsidRPr="005A42C4" w:rsidRDefault="00635C84" w:rsidP="009474F1">
      <w:pPr>
        <w:rPr>
          <w:rFonts w:ascii="Cambria" w:hAnsi="Cambria"/>
          <w:lang w:val="en-GB"/>
        </w:rPr>
      </w:pPr>
      <w:r w:rsidRPr="005A42C4">
        <w:rPr>
          <w:rFonts w:ascii="Cambria" w:hAnsi="Cambria"/>
          <w:lang w:val="en-GB"/>
        </w:rPr>
        <w:t xml:space="preserve">Amounts will exclusively be reported in </w:t>
      </w:r>
      <w:r w:rsidRPr="005A42C4">
        <w:rPr>
          <w:rFonts w:ascii="Cambria" w:hAnsi="Cambria"/>
          <w:b/>
          <w:lang w:val="en-GB"/>
        </w:rPr>
        <w:t>EUR (counter)</w:t>
      </w:r>
      <w:r w:rsidR="003D4482">
        <w:rPr>
          <w:rFonts w:ascii="Cambria" w:hAnsi="Cambria"/>
          <w:b/>
          <w:lang w:val="en-GB"/>
        </w:rPr>
        <w:t xml:space="preserve"> </w:t>
      </w:r>
      <w:r w:rsidRPr="005A42C4">
        <w:rPr>
          <w:rFonts w:ascii="Cambria" w:hAnsi="Cambria"/>
          <w:b/>
          <w:lang w:val="en-GB"/>
        </w:rPr>
        <w:t>value</w:t>
      </w:r>
      <w:r w:rsidR="00747093" w:rsidRPr="005A42C4">
        <w:rPr>
          <w:rFonts w:ascii="Cambria" w:hAnsi="Cambria"/>
          <w:b/>
          <w:lang w:val="en-GB"/>
        </w:rPr>
        <w:t xml:space="preserve"> and </w:t>
      </w:r>
      <w:r w:rsidR="00E41C6E" w:rsidRPr="005A42C4">
        <w:rPr>
          <w:rFonts w:ascii="Cambria" w:hAnsi="Cambria"/>
          <w:b/>
          <w:lang w:val="en-GB"/>
        </w:rPr>
        <w:t xml:space="preserve">may </w:t>
      </w:r>
      <w:r w:rsidR="00747093" w:rsidRPr="005A42C4">
        <w:rPr>
          <w:rFonts w:ascii="Cambria" w:hAnsi="Cambria"/>
          <w:b/>
          <w:lang w:val="en-GB"/>
        </w:rPr>
        <w:t>be</w:t>
      </w:r>
      <w:r w:rsidRPr="005A42C4">
        <w:rPr>
          <w:rFonts w:ascii="Cambria" w:hAnsi="Cambria"/>
          <w:b/>
          <w:lang w:val="en-GB"/>
        </w:rPr>
        <w:t xml:space="preserve"> rounded to the nearest unit</w:t>
      </w:r>
      <w:r w:rsidRPr="005A42C4">
        <w:rPr>
          <w:rFonts w:ascii="Cambria" w:hAnsi="Cambria"/>
          <w:lang w:val="en-GB"/>
        </w:rPr>
        <w:t>. For foreign currencies, this means that a conversion is required, which will be done at the reference rates published by the ECB on the date for which the template is reported. In case this is a TARGET closing date, the exchange rate shall refer to the one published at the closest date before the reporting date.</w:t>
      </w:r>
    </w:p>
    <w:p w14:paraId="77E0601B" w14:textId="77777777" w:rsidR="00E20340" w:rsidRPr="005A42C4" w:rsidRDefault="00E20340" w:rsidP="009474F1">
      <w:pPr>
        <w:pStyle w:val="Heading4"/>
        <w:rPr>
          <w:rFonts w:ascii="Cambria" w:hAnsi="Cambria"/>
          <w:lang w:val="en-GB"/>
        </w:rPr>
      </w:pPr>
      <w:r w:rsidRPr="005A42C4">
        <w:rPr>
          <w:rFonts w:ascii="Cambria" w:hAnsi="Cambria"/>
          <w:lang w:val="en-GB"/>
        </w:rPr>
        <w:t>Carrying amount</w:t>
      </w:r>
    </w:p>
    <w:p w14:paraId="75D3E5A4" w14:textId="77777777" w:rsidR="00E20340" w:rsidRPr="005A42C4" w:rsidRDefault="00E20340" w:rsidP="009474F1">
      <w:pPr>
        <w:rPr>
          <w:rFonts w:ascii="Cambria" w:hAnsi="Cambria"/>
          <w:lang w:val="en-GB"/>
        </w:rPr>
      </w:pPr>
      <w:r w:rsidRPr="005A42C4">
        <w:rPr>
          <w:rFonts w:ascii="Cambria" w:hAnsi="Cambria"/>
          <w:lang w:val="en-GB"/>
        </w:rPr>
        <w:t xml:space="preserve">The carrying amount is the </w:t>
      </w:r>
      <w:r w:rsidRPr="005A42C4">
        <w:rPr>
          <w:rFonts w:ascii="Cambria" w:hAnsi="Cambria"/>
          <w:b/>
          <w:lang w:val="en-GB"/>
        </w:rPr>
        <w:t>accounting amount</w:t>
      </w:r>
      <w:r w:rsidRPr="005A42C4">
        <w:rPr>
          <w:rFonts w:ascii="Cambria" w:hAnsi="Cambria"/>
          <w:lang w:val="en-GB"/>
        </w:rPr>
        <w:t xml:space="preserve"> reported in the financial statement. This should be the amount used for FINREP purposes, either under IFRS or national GAAP, when available. Otherwise, figures under national GAAP reporting schemes should be used.</w:t>
      </w:r>
    </w:p>
    <w:p w14:paraId="5D1DABE7" w14:textId="77777777" w:rsidR="00E20340" w:rsidRPr="005A42C4" w:rsidRDefault="00E20340" w:rsidP="009474F1">
      <w:pPr>
        <w:pStyle w:val="Heading4"/>
        <w:rPr>
          <w:rFonts w:ascii="Cambria" w:hAnsi="Cambria"/>
          <w:lang w:val="en-GB"/>
        </w:rPr>
      </w:pPr>
      <w:r w:rsidRPr="005A42C4">
        <w:rPr>
          <w:rFonts w:ascii="Cambria" w:hAnsi="Cambria"/>
          <w:lang w:val="en-GB"/>
        </w:rPr>
        <w:t>Outstanding amount</w:t>
      </w:r>
    </w:p>
    <w:p w14:paraId="5658A957" w14:textId="6436728D" w:rsidR="00E20340" w:rsidRPr="005A42C4" w:rsidRDefault="00E20340" w:rsidP="009474F1">
      <w:pPr>
        <w:rPr>
          <w:rFonts w:ascii="Cambria" w:hAnsi="Cambria"/>
          <w:lang w:val="en-GB"/>
        </w:rPr>
      </w:pPr>
      <w:r w:rsidRPr="005A42C4">
        <w:rPr>
          <w:rFonts w:ascii="Cambria" w:hAnsi="Cambria"/>
          <w:lang w:val="en-GB"/>
        </w:rPr>
        <w:t>As the carrying amount does not necessarily represent the value that is relevant for resolution purposes</w:t>
      </w:r>
      <w:r w:rsidR="00045639" w:rsidRPr="005A42C4">
        <w:rPr>
          <w:rStyle w:val="FootnoteReference"/>
          <w:rFonts w:ascii="Cambria" w:hAnsi="Cambria"/>
          <w:lang w:val="en-GB"/>
        </w:rPr>
        <w:footnoteReference w:id="7"/>
      </w:r>
      <w:r w:rsidRPr="005A42C4">
        <w:rPr>
          <w:rFonts w:ascii="Cambria" w:hAnsi="Cambria"/>
          <w:lang w:val="en-GB"/>
        </w:rPr>
        <w:t xml:space="preserve">, </w:t>
      </w:r>
      <w:r w:rsidR="00747093" w:rsidRPr="005A42C4">
        <w:rPr>
          <w:rFonts w:ascii="Cambria" w:hAnsi="Cambria"/>
          <w:lang w:val="en-GB"/>
        </w:rPr>
        <w:t>e.g. with reference to the amount that c</w:t>
      </w:r>
      <w:r w:rsidRPr="005A42C4">
        <w:rPr>
          <w:rFonts w:ascii="Cambria" w:hAnsi="Cambria"/>
          <w:lang w:val="en-GB"/>
        </w:rPr>
        <w:t>ould be bailed-in</w:t>
      </w:r>
      <w:r w:rsidR="002951DF" w:rsidRPr="005A42C4">
        <w:rPr>
          <w:rFonts w:ascii="Cambria" w:hAnsi="Cambria"/>
          <w:lang w:val="en-GB"/>
        </w:rPr>
        <w:t xml:space="preserve"> or is excluded from bail-in</w:t>
      </w:r>
      <w:r w:rsidR="00045639" w:rsidRPr="005A42C4">
        <w:rPr>
          <w:rFonts w:ascii="Cambria" w:hAnsi="Cambria"/>
          <w:lang w:val="en-GB"/>
        </w:rPr>
        <w:t>,</w:t>
      </w:r>
      <w:r w:rsidRPr="005A42C4">
        <w:rPr>
          <w:rFonts w:ascii="Cambria" w:hAnsi="Cambria"/>
          <w:lang w:val="en-GB"/>
        </w:rPr>
        <w:t xml:space="preserve"> the </w:t>
      </w:r>
      <w:r w:rsidR="00045639" w:rsidRPr="005A42C4">
        <w:rPr>
          <w:rFonts w:ascii="Cambria" w:hAnsi="Cambria"/>
          <w:lang w:val="en-GB"/>
        </w:rPr>
        <w:t xml:space="preserve">report </w:t>
      </w:r>
      <w:r w:rsidRPr="005A42C4">
        <w:rPr>
          <w:rFonts w:ascii="Cambria" w:hAnsi="Cambria"/>
          <w:lang w:val="en-GB"/>
        </w:rPr>
        <w:t>also require</w:t>
      </w:r>
      <w:r w:rsidR="00045639" w:rsidRPr="005A42C4">
        <w:rPr>
          <w:rFonts w:ascii="Cambria" w:hAnsi="Cambria"/>
          <w:lang w:val="en-GB"/>
        </w:rPr>
        <w:t>s</w:t>
      </w:r>
      <w:r w:rsidRPr="005A42C4">
        <w:rPr>
          <w:rFonts w:ascii="Cambria" w:hAnsi="Cambria"/>
          <w:lang w:val="en-GB"/>
        </w:rPr>
        <w:t xml:space="preserve"> information about the "outstanding amount", that is the principal amount of the claims or the debt instrument. </w:t>
      </w:r>
      <w:r w:rsidR="00E11D14">
        <w:rPr>
          <w:rFonts w:ascii="Cambria" w:hAnsi="Cambria"/>
          <w:lang w:val="en-GB"/>
        </w:rPr>
        <w:t>W</w:t>
      </w:r>
      <w:r w:rsidR="00E11D14" w:rsidRPr="00E11D14">
        <w:rPr>
          <w:rFonts w:ascii="Cambria" w:hAnsi="Cambria"/>
          <w:lang w:val="en-GB"/>
        </w:rPr>
        <w:t>hile the SRB has not taken a position on which amount (gross or net, i.e. before or after the insolvency set off) it will implement the bai</w:t>
      </w:r>
      <w:r w:rsidR="00E11D14">
        <w:rPr>
          <w:rFonts w:ascii="Cambria" w:hAnsi="Cambria"/>
          <w:lang w:val="en-GB"/>
        </w:rPr>
        <w:t xml:space="preserve">l-in, we ask that </w:t>
      </w:r>
      <w:r w:rsidR="00E11D14" w:rsidRPr="00E11D14">
        <w:rPr>
          <w:rFonts w:ascii="Cambria" w:hAnsi="Cambria"/>
          <w:lang w:val="en-GB"/>
        </w:rPr>
        <w:t xml:space="preserve">banks provide under the term “outstanding amount” </w:t>
      </w:r>
      <w:r w:rsidR="00E11D14" w:rsidRPr="00054486">
        <w:rPr>
          <w:rFonts w:ascii="Cambria" w:hAnsi="Cambria"/>
          <w:b/>
          <w:lang w:val="en-GB"/>
        </w:rPr>
        <w:t>the gross amount of the liabilities</w:t>
      </w:r>
      <w:r w:rsidR="00E11D14" w:rsidRPr="00E11D14">
        <w:rPr>
          <w:rFonts w:ascii="Cambria" w:hAnsi="Cambria"/>
          <w:lang w:val="en-GB"/>
        </w:rPr>
        <w:t xml:space="preserve"> (i.e. the amount before insolvency set off). Moreover, if the above approach to apply the NCWO </w:t>
      </w:r>
      <w:r w:rsidR="00E11D14">
        <w:rPr>
          <w:rFonts w:ascii="Cambria" w:hAnsi="Cambria"/>
          <w:lang w:val="en-GB"/>
        </w:rPr>
        <w:t xml:space="preserve">principle ex ante is followed, </w:t>
      </w:r>
      <w:r w:rsidR="00E11D14" w:rsidRPr="00E11D14">
        <w:rPr>
          <w:rFonts w:ascii="Cambria" w:hAnsi="Cambria"/>
          <w:lang w:val="en-GB"/>
        </w:rPr>
        <w:t xml:space="preserve">the banks established in jurisdictions where insolvency set-off is applicable could also be asked to provide with more granular data on the net position for each creditor. </w:t>
      </w:r>
      <w:r w:rsidR="00E11D14">
        <w:rPr>
          <w:rFonts w:ascii="Cambria" w:hAnsi="Cambria"/>
          <w:lang w:val="en-GB"/>
        </w:rPr>
        <w:t>Note that</w:t>
      </w:r>
      <w:r w:rsidRPr="005A42C4">
        <w:rPr>
          <w:rFonts w:ascii="Cambria" w:hAnsi="Cambria"/>
          <w:lang w:val="en-GB"/>
        </w:rPr>
        <w:t xml:space="preserve"> the outstanding amount is composed of both the principal amount and the accrued interest on each instrument.</w:t>
      </w:r>
      <w:r w:rsidR="00EF49AD" w:rsidRPr="005A42C4">
        <w:rPr>
          <w:rFonts w:ascii="Cambria" w:hAnsi="Cambria"/>
          <w:lang w:val="en-GB"/>
        </w:rPr>
        <w:t xml:space="preserve"> Where the outstanding amount is the sum of the principal amount and accrued interest, both components may have to be split by maturity as indicated in point </w:t>
      </w:r>
      <w:r w:rsidR="00883BBC" w:rsidRPr="005A42C4">
        <w:rPr>
          <w:rFonts w:ascii="Cambria" w:hAnsi="Cambria"/>
          <w:lang w:val="en-GB"/>
        </w:rPr>
        <w:t>4</w:t>
      </w:r>
      <w:r w:rsidR="00EF49AD" w:rsidRPr="005A42C4">
        <w:rPr>
          <w:rFonts w:ascii="Cambria" w:hAnsi="Cambria"/>
          <w:lang w:val="en-GB"/>
        </w:rPr>
        <w:t>.</w:t>
      </w:r>
      <w:r w:rsidR="00B71D0E" w:rsidRPr="005A42C4">
        <w:rPr>
          <w:rStyle w:val="FootnoteReference"/>
          <w:rFonts w:ascii="Cambria" w:hAnsi="Cambria"/>
          <w:lang w:val="en-GB"/>
        </w:rPr>
        <w:footnoteReference w:id="8"/>
      </w:r>
    </w:p>
    <w:p w14:paraId="22654214" w14:textId="77777777" w:rsidR="00DA5C81" w:rsidRPr="005A42C4" w:rsidRDefault="00DA5C81" w:rsidP="00E4539A">
      <w:pPr>
        <w:pStyle w:val="Heading3"/>
        <w:numPr>
          <w:ilvl w:val="0"/>
          <w:numId w:val="19"/>
        </w:numPr>
        <w:ind w:left="567" w:hanging="567"/>
        <w:rPr>
          <w:rFonts w:ascii="Cambria" w:hAnsi="Cambria"/>
          <w:lang w:val="en-GB"/>
        </w:rPr>
      </w:pPr>
      <w:bookmarkStart w:id="102" w:name="_Toc464809757"/>
      <w:bookmarkStart w:id="103" w:name="_Toc464828051"/>
      <w:bookmarkStart w:id="104" w:name="_Toc464828126"/>
      <w:bookmarkStart w:id="105" w:name="_Toc464828201"/>
      <w:bookmarkStart w:id="106" w:name="_Toc464809758"/>
      <w:bookmarkStart w:id="107" w:name="_Toc464828052"/>
      <w:bookmarkStart w:id="108" w:name="_Toc464828127"/>
      <w:bookmarkStart w:id="109" w:name="_Toc464828202"/>
      <w:bookmarkStart w:id="110" w:name="_Toc464809759"/>
      <w:bookmarkStart w:id="111" w:name="_Toc464828053"/>
      <w:bookmarkStart w:id="112" w:name="_Toc464828128"/>
      <w:bookmarkStart w:id="113" w:name="_Toc464828203"/>
      <w:bookmarkStart w:id="114" w:name="_Toc464809760"/>
      <w:bookmarkStart w:id="115" w:name="_Toc464828054"/>
      <w:bookmarkStart w:id="116" w:name="_Toc464828129"/>
      <w:bookmarkStart w:id="117" w:name="_Toc464828204"/>
      <w:bookmarkStart w:id="118" w:name="_Toc464809761"/>
      <w:bookmarkStart w:id="119" w:name="_Toc464828055"/>
      <w:bookmarkStart w:id="120" w:name="_Toc464828130"/>
      <w:bookmarkStart w:id="121" w:name="_Toc464828205"/>
      <w:bookmarkStart w:id="122" w:name="_Toc12973015"/>
      <w:bookmarkStart w:id="123" w:name="_Toc1375574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A42C4">
        <w:rPr>
          <w:rFonts w:ascii="Cambria" w:hAnsi="Cambria"/>
          <w:lang w:val="en-GB"/>
        </w:rPr>
        <w:t>Insolvency Ranking</w:t>
      </w:r>
      <w:bookmarkEnd w:id="122"/>
      <w:bookmarkEnd w:id="123"/>
    </w:p>
    <w:p w14:paraId="21A4BA15" w14:textId="17D566A4" w:rsidR="00A8758A" w:rsidRPr="005A42C4" w:rsidRDefault="00967E24" w:rsidP="009474F1">
      <w:pPr>
        <w:rPr>
          <w:rFonts w:ascii="Cambria" w:hAnsi="Cambria"/>
          <w:lang w:val="en-GB"/>
        </w:rPr>
      </w:pPr>
      <w:r w:rsidRPr="005A42C4">
        <w:rPr>
          <w:rFonts w:ascii="Cambria" w:hAnsi="Cambria"/>
          <w:lang w:val="en-GB"/>
        </w:rPr>
        <w:t xml:space="preserve">The SRB will work closely together with the NRAs within the Banking Union to </w:t>
      </w:r>
      <w:r w:rsidR="001B08B4" w:rsidRPr="005A42C4">
        <w:rPr>
          <w:rFonts w:ascii="Cambria" w:hAnsi="Cambria"/>
          <w:lang w:val="en-GB"/>
        </w:rPr>
        <w:t xml:space="preserve">update the </w:t>
      </w:r>
      <w:r w:rsidRPr="005A42C4">
        <w:rPr>
          <w:rFonts w:ascii="Cambria" w:hAnsi="Cambria"/>
          <w:lang w:val="en-GB"/>
        </w:rPr>
        <w:t>mapping of national insolvency regimes to a common scale</w:t>
      </w:r>
      <w:r w:rsidR="00883BBC" w:rsidRPr="005A42C4">
        <w:rPr>
          <w:rFonts w:ascii="Cambria" w:hAnsi="Cambria"/>
          <w:lang w:val="en-GB"/>
        </w:rPr>
        <w:t>, identifying the order in which instruments shall absorb losses in insolvency,</w:t>
      </w:r>
      <w:r w:rsidRPr="005A42C4">
        <w:rPr>
          <w:rFonts w:ascii="Cambria" w:hAnsi="Cambria"/>
          <w:lang w:val="en-GB"/>
        </w:rPr>
        <w:t xml:space="preserve"> for data reporting in the detailed sheets. </w:t>
      </w:r>
      <w:r w:rsidR="001B08B4" w:rsidRPr="005A42C4">
        <w:rPr>
          <w:rFonts w:ascii="Cambria" w:hAnsi="Cambria"/>
          <w:lang w:val="en-GB"/>
        </w:rPr>
        <w:t xml:space="preserve">This ranking is provided under annex </w:t>
      </w:r>
      <w:r w:rsidR="00C505DC">
        <w:rPr>
          <w:rFonts w:ascii="Cambria" w:hAnsi="Cambria"/>
          <w:lang w:val="en-GB"/>
        </w:rPr>
        <w:t>4</w:t>
      </w:r>
      <w:r w:rsidR="001B08B4" w:rsidRPr="005A42C4">
        <w:rPr>
          <w:rFonts w:ascii="Cambria" w:hAnsi="Cambria"/>
          <w:lang w:val="en-GB"/>
        </w:rPr>
        <w:t xml:space="preserve"> of the present document.</w:t>
      </w:r>
    </w:p>
    <w:p w14:paraId="47836FAD" w14:textId="77777777" w:rsidR="00A8758A" w:rsidRPr="005A42C4" w:rsidRDefault="00A8758A" w:rsidP="009474F1">
      <w:pPr>
        <w:rPr>
          <w:rFonts w:ascii="Cambria" w:hAnsi="Cambria"/>
          <w:lang w:val="en-GB"/>
        </w:rPr>
      </w:pPr>
    </w:p>
    <w:p w14:paraId="18601498" w14:textId="77777777" w:rsidR="003D0B7A" w:rsidRPr="005A42C4" w:rsidRDefault="007025A8" w:rsidP="009474F1">
      <w:pPr>
        <w:rPr>
          <w:rFonts w:ascii="Cambria" w:hAnsi="Cambria"/>
          <w:lang w:val="en-GB"/>
        </w:rPr>
      </w:pPr>
      <w:r w:rsidRPr="005A42C4">
        <w:rPr>
          <w:rFonts w:ascii="Cambria" w:hAnsi="Cambria"/>
          <w:lang w:val="en-GB"/>
        </w:rPr>
        <w:t xml:space="preserve">Where liabilities are governed by a law of a Member State </w:t>
      </w:r>
      <w:r w:rsidR="00A8758A" w:rsidRPr="005A42C4">
        <w:rPr>
          <w:rFonts w:ascii="Cambria" w:hAnsi="Cambria"/>
          <w:lang w:val="en-GB"/>
        </w:rPr>
        <w:t xml:space="preserve">outside the Banking Union </w:t>
      </w:r>
      <w:r w:rsidRPr="005A42C4">
        <w:rPr>
          <w:rFonts w:ascii="Cambria" w:hAnsi="Cambria"/>
          <w:lang w:val="en-GB"/>
        </w:rPr>
        <w:t xml:space="preserve">or a third country, </w:t>
      </w:r>
      <w:r w:rsidR="001956BB" w:rsidRPr="005A42C4">
        <w:rPr>
          <w:rFonts w:ascii="Cambria" w:hAnsi="Cambria"/>
          <w:lang w:val="en-GB"/>
        </w:rPr>
        <w:t>the entities</w:t>
      </w:r>
      <w:r w:rsidRPr="005A42C4">
        <w:rPr>
          <w:rFonts w:ascii="Cambria" w:hAnsi="Cambria"/>
          <w:lang w:val="en-GB"/>
        </w:rPr>
        <w:t xml:space="preserve"> should try to obtain a ranking through the Resolution Authority of that jurisdiction, or</w:t>
      </w:r>
      <w:r w:rsidR="00DA5C81" w:rsidRPr="005A42C4">
        <w:rPr>
          <w:rFonts w:ascii="Cambria" w:hAnsi="Cambria"/>
          <w:lang w:val="en-GB"/>
        </w:rPr>
        <w:t>, in absence of such a</w:t>
      </w:r>
      <w:r w:rsidRPr="005A42C4">
        <w:rPr>
          <w:rFonts w:ascii="Cambria" w:hAnsi="Cambria"/>
          <w:lang w:val="en-GB"/>
        </w:rPr>
        <w:t>n official</w:t>
      </w:r>
      <w:r w:rsidR="00DA5C81" w:rsidRPr="005A42C4">
        <w:rPr>
          <w:rFonts w:ascii="Cambria" w:hAnsi="Cambria"/>
          <w:lang w:val="en-GB"/>
        </w:rPr>
        <w:t xml:space="preserve"> ranking, each </w:t>
      </w:r>
      <w:r w:rsidR="00F400B4" w:rsidRPr="005A42C4">
        <w:rPr>
          <w:rFonts w:ascii="Cambria" w:hAnsi="Cambria"/>
          <w:lang w:val="en-GB"/>
        </w:rPr>
        <w:t xml:space="preserve">entity </w:t>
      </w:r>
      <w:r w:rsidR="00DA5C81" w:rsidRPr="005A42C4">
        <w:rPr>
          <w:rFonts w:ascii="Cambria" w:hAnsi="Cambria"/>
          <w:lang w:val="en-GB"/>
        </w:rPr>
        <w:t xml:space="preserve">should define its own ranking in insolvency proceedings, with </w:t>
      </w:r>
      <w:r w:rsidR="00DA5C81" w:rsidRPr="005A42C4">
        <w:rPr>
          <w:rFonts w:ascii="Cambria" w:hAnsi="Cambria"/>
          <w:lang w:val="en-GB"/>
        </w:rPr>
        <w:lastRenderedPageBreak/>
        <w:t>appropriate granularity</w:t>
      </w:r>
      <w:r w:rsidR="00A8758A" w:rsidRPr="005A42C4">
        <w:rPr>
          <w:rFonts w:ascii="Cambria" w:hAnsi="Cambria"/>
          <w:lang w:val="en-GB"/>
        </w:rPr>
        <w:t xml:space="preserve"> based on the specific liabilities of the entity’s balance sheet.</w:t>
      </w:r>
      <w:r w:rsidR="00A218D4" w:rsidRPr="005A42C4">
        <w:rPr>
          <w:rFonts w:ascii="Cambria" w:hAnsi="Cambria"/>
          <w:lang w:val="en-GB"/>
        </w:rPr>
        <w:t xml:space="preserve"> </w:t>
      </w:r>
      <w:r w:rsidR="00DA5C81" w:rsidRPr="005A42C4">
        <w:rPr>
          <w:rFonts w:ascii="Cambria" w:hAnsi="Cambria"/>
          <w:lang w:val="en-GB"/>
        </w:rPr>
        <w:t xml:space="preserve">For the </w:t>
      </w:r>
      <w:r w:rsidR="006131BD" w:rsidRPr="005A42C4">
        <w:rPr>
          <w:rFonts w:ascii="Cambria" w:hAnsi="Cambria"/>
          <w:lang w:val="en-GB"/>
        </w:rPr>
        <w:t xml:space="preserve">details on </w:t>
      </w:r>
      <w:r w:rsidR="00DA5C81" w:rsidRPr="005A42C4">
        <w:rPr>
          <w:rFonts w:ascii="Cambria" w:hAnsi="Cambria"/>
          <w:lang w:val="en-GB"/>
        </w:rPr>
        <w:t xml:space="preserve">intragroup </w:t>
      </w:r>
      <w:r w:rsidR="006131BD" w:rsidRPr="005A42C4">
        <w:rPr>
          <w:rFonts w:ascii="Cambria" w:hAnsi="Cambria"/>
          <w:lang w:val="en-GB"/>
        </w:rPr>
        <w:t>guarantees (provided and received)</w:t>
      </w:r>
      <w:r w:rsidR="00DA5C81" w:rsidRPr="005A42C4">
        <w:rPr>
          <w:rFonts w:ascii="Cambria" w:hAnsi="Cambria"/>
          <w:lang w:val="en-GB"/>
        </w:rPr>
        <w:t>, the insolvency ranking should indicate the ranking of any liability that would materialise upon activation of the guarantee.</w:t>
      </w:r>
    </w:p>
    <w:p w14:paraId="3902CF67" w14:textId="77777777" w:rsidR="007A2597" w:rsidRPr="005A42C4" w:rsidRDefault="007A2597" w:rsidP="006550F9">
      <w:pPr>
        <w:pStyle w:val="Heading3"/>
        <w:numPr>
          <w:ilvl w:val="0"/>
          <w:numId w:val="19"/>
        </w:numPr>
        <w:ind w:left="567" w:hanging="567"/>
        <w:rPr>
          <w:rFonts w:ascii="Cambria" w:hAnsi="Cambria"/>
          <w:lang w:val="en-GB"/>
        </w:rPr>
      </w:pPr>
      <w:bookmarkStart w:id="124" w:name="_Toc12973016"/>
      <w:bookmarkStart w:id="125" w:name="_Toc462295132"/>
      <w:bookmarkStart w:id="126" w:name="_Toc13755746"/>
      <w:r w:rsidRPr="005A42C4">
        <w:rPr>
          <w:rFonts w:ascii="Cambria" w:hAnsi="Cambria"/>
          <w:lang w:val="en-GB"/>
        </w:rPr>
        <w:t>Validation rules</w:t>
      </w:r>
      <w:bookmarkEnd w:id="124"/>
      <w:bookmarkEnd w:id="126"/>
    </w:p>
    <w:p w14:paraId="3BDB877F" w14:textId="77777777" w:rsidR="00C8142A" w:rsidRPr="005A42C4" w:rsidRDefault="00C8142A" w:rsidP="006550F9">
      <w:pPr>
        <w:spacing w:after="160" w:line="259" w:lineRule="auto"/>
        <w:rPr>
          <w:rFonts w:ascii="Cambria" w:hAnsi="Cambria"/>
          <w:lang w:val="en-GB"/>
        </w:rPr>
      </w:pPr>
      <w:r w:rsidRPr="005A42C4">
        <w:rPr>
          <w:rFonts w:ascii="Cambria" w:hAnsi="Cambria"/>
          <w:lang w:val="en-GB"/>
        </w:rPr>
        <w:t>Several levels of checks will be run on all submissions of the LDR:</w:t>
      </w:r>
    </w:p>
    <w:p w14:paraId="6FE9EE3F" w14:textId="77777777" w:rsidR="00C8142A" w:rsidRPr="005A42C4" w:rsidRDefault="00C8142A" w:rsidP="006550F9">
      <w:pPr>
        <w:pStyle w:val="ListParagraph"/>
        <w:numPr>
          <w:ilvl w:val="0"/>
          <w:numId w:val="27"/>
        </w:numPr>
        <w:spacing w:after="160" w:line="259" w:lineRule="auto"/>
        <w:rPr>
          <w:sz w:val="20"/>
          <w:lang w:val="en-GB"/>
        </w:rPr>
      </w:pPr>
      <w:r w:rsidRPr="005A42C4">
        <w:rPr>
          <w:sz w:val="20"/>
          <w:lang w:val="en-GB"/>
        </w:rPr>
        <w:t xml:space="preserve">A first level consists of </w:t>
      </w:r>
      <w:r w:rsidRPr="005A42C4">
        <w:rPr>
          <w:b/>
          <w:sz w:val="20"/>
          <w:lang w:val="en-GB"/>
        </w:rPr>
        <w:t>automated</w:t>
      </w:r>
      <w:r w:rsidRPr="005A42C4">
        <w:rPr>
          <w:sz w:val="20"/>
          <w:lang w:val="en-GB"/>
        </w:rPr>
        <w:t xml:space="preserve"> </w:t>
      </w:r>
      <w:r w:rsidRPr="005A42C4">
        <w:rPr>
          <w:b/>
          <w:sz w:val="20"/>
          <w:u w:val="single"/>
          <w:lang w:val="en-GB"/>
        </w:rPr>
        <w:t>technical checks</w:t>
      </w:r>
      <w:r w:rsidRPr="005A42C4">
        <w:rPr>
          <w:sz w:val="20"/>
          <w:lang w:val="en-GB"/>
        </w:rPr>
        <w:t xml:space="preserve"> to ensure that the submissions fulfil all formatting requirements</w:t>
      </w:r>
      <w:r w:rsidR="00A11411" w:rsidRPr="005A42C4">
        <w:rPr>
          <w:sz w:val="20"/>
          <w:lang w:val="en-GB"/>
        </w:rPr>
        <w:t xml:space="preserve">, </w:t>
      </w:r>
      <w:r w:rsidR="005121F0" w:rsidRPr="005A42C4">
        <w:rPr>
          <w:sz w:val="20"/>
          <w:lang w:val="en-GB"/>
        </w:rPr>
        <w:t xml:space="preserve">i.e. </w:t>
      </w:r>
      <w:r w:rsidR="00A11411" w:rsidRPr="005A42C4">
        <w:rPr>
          <w:sz w:val="20"/>
          <w:lang w:val="en-GB"/>
        </w:rPr>
        <w:t>the filing rules</w:t>
      </w:r>
      <w:r w:rsidRPr="005A42C4">
        <w:rPr>
          <w:sz w:val="20"/>
          <w:lang w:val="en-GB"/>
        </w:rPr>
        <w:t>;</w:t>
      </w:r>
    </w:p>
    <w:p w14:paraId="7C65E24A" w14:textId="77777777" w:rsidR="00C8142A" w:rsidRPr="005A42C4" w:rsidRDefault="00C8142A" w:rsidP="006550F9">
      <w:pPr>
        <w:pStyle w:val="ListParagraph"/>
        <w:numPr>
          <w:ilvl w:val="0"/>
          <w:numId w:val="27"/>
        </w:numPr>
        <w:spacing w:after="160" w:line="259" w:lineRule="auto"/>
        <w:rPr>
          <w:sz w:val="20"/>
          <w:lang w:val="en-GB"/>
        </w:rPr>
      </w:pPr>
      <w:r w:rsidRPr="005A42C4">
        <w:rPr>
          <w:sz w:val="20"/>
          <w:lang w:val="en-GB"/>
        </w:rPr>
        <w:t xml:space="preserve">A second level entails </w:t>
      </w:r>
      <w:r w:rsidRPr="005A42C4">
        <w:rPr>
          <w:b/>
          <w:sz w:val="20"/>
          <w:u w:val="single"/>
          <w:lang w:val="en-GB"/>
        </w:rPr>
        <w:t>automated consistency checks</w:t>
      </w:r>
      <w:r w:rsidRPr="005A42C4">
        <w:rPr>
          <w:sz w:val="20"/>
          <w:lang w:val="en-GB"/>
        </w:rPr>
        <w:t xml:space="preserve"> with regard to submitted data; and</w:t>
      </w:r>
    </w:p>
    <w:p w14:paraId="6BA73760" w14:textId="77777777" w:rsidR="00C8142A" w:rsidRPr="005A42C4" w:rsidRDefault="00C8142A" w:rsidP="006550F9">
      <w:pPr>
        <w:pStyle w:val="ListParagraph"/>
        <w:numPr>
          <w:ilvl w:val="0"/>
          <w:numId w:val="27"/>
        </w:numPr>
        <w:spacing w:after="160" w:line="259" w:lineRule="auto"/>
        <w:rPr>
          <w:sz w:val="20"/>
          <w:lang w:val="en-GB"/>
        </w:rPr>
      </w:pPr>
      <w:r w:rsidRPr="005A42C4">
        <w:rPr>
          <w:sz w:val="20"/>
          <w:lang w:val="en-GB"/>
        </w:rPr>
        <w:t xml:space="preserve">A third and final level of checks involves </w:t>
      </w:r>
      <w:r w:rsidR="007914AD" w:rsidRPr="005A42C4">
        <w:rPr>
          <w:b/>
          <w:sz w:val="20"/>
          <w:u w:val="single"/>
          <w:lang w:val="en-GB"/>
        </w:rPr>
        <w:t>further consistency checks</w:t>
      </w:r>
      <w:r w:rsidR="007914AD" w:rsidRPr="005A42C4">
        <w:rPr>
          <w:sz w:val="20"/>
          <w:lang w:val="en-GB"/>
        </w:rPr>
        <w:t xml:space="preserve"> which cannot be automatically implemented during the data collection phase.</w:t>
      </w:r>
    </w:p>
    <w:p w14:paraId="09045FE1" w14:textId="70CF5CC5" w:rsidR="007914AD" w:rsidRDefault="007914AD" w:rsidP="006550F9">
      <w:pPr>
        <w:spacing w:after="160" w:line="259" w:lineRule="auto"/>
        <w:rPr>
          <w:rFonts w:ascii="Cambria" w:hAnsi="Cambria"/>
          <w:lang w:val="en-GB"/>
        </w:rPr>
      </w:pPr>
      <w:r w:rsidRPr="005A42C4">
        <w:rPr>
          <w:rFonts w:ascii="Cambria" w:hAnsi="Cambria"/>
          <w:lang w:val="en-GB"/>
        </w:rPr>
        <w:t xml:space="preserve">These three levels of checks are further detailed in annex </w:t>
      </w:r>
      <w:r w:rsidR="005D62C4">
        <w:rPr>
          <w:rFonts w:ascii="Cambria" w:hAnsi="Cambria"/>
          <w:lang w:val="en-GB"/>
        </w:rPr>
        <w:t>3</w:t>
      </w:r>
      <w:r w:rsidR="005D62C4" w:rsidRPr="005A42C4">
        <w:rPr>
          <w:rFonts w:ascii="Cambria" w:hAnsi="Cambria"/>
          <w:lang w:val="en-GB"/>
        </w:rPr>
        <w:t xml:space="preserve"> </w:t>
      </w:r>
      <w:r w:rsidRPr="005A42C4">
        <w:rPr>
          <w:rFonts w:ascii="Cambria" w:hAnsi="Cambria"/>
          <w:lang w:val="en-GB"/>
        </w:rPr>
        <w:t>to this guidance.</w:t>
      </w:r>
    </w:p>
    <w:p w14:paraId="05EC091F" w14:textId="08E217CC" w:rsidR="00715695" w:rsidRDefault="00715695" w:rsidP="006550F9">
      <w:pPr>
        <w:spacing w:after="160" w:line="259" w:lineRule="auto"/>
        <w:rPr>
          <w:rFonts w:ascii="Cambria" w:hAnsi="Cambria"/>
          <w:lang w:val="en-GB"/>
        </w:rPr>
      </w:pPr>
      <w:r w:rsidRPr="00715695">
        <w:rPr>
          <w:rFonts w:ascii="Cambria" w:hAnsi="Cambria"/>
          <w:lang w:val="en-GB"/>
        </w:rPr>
        <w:t xml:space="preserve">Note that for the granular tabs (T03.01 to </w:t>
      </w:r>
      <w:r w:rsidR="00537372" w:rsidRPr="00715695">
        <w:rPr>
          <w:rFonts w:ascii="Cambria" w:hAnsi="Cambria"/>
          <w:lang w:val="en-GB"/>
        </w:rPr>
        <w:t>T</w:t>
      </w:r>
      <w:r w:rsidR="00537372">
        <w:rPr>
          <w:rFonts w:ascii="Cambria" w:hAnsi="Cambria"/>
          <w:lang w:val="en-GB"/>
        </w:rPr>
        <w:t>12</w:t>
      </w:r>
      <w:r w:rsidRPr="00715695">
        <w:rPr>
          <w:rFonts w:ascii="Cambria" w:hAnsi="Cambria"/>
          <w:lang w:val="en-GB"/>
        </w:rPr>
        <w:t xml:space="preserve">.00), the data provided </w:t>
      </w:r>
      <w:r w:rsidR="006351E0" w:rsidRPr="005A42C4">
        <w:rPr>
          <w:rFonts w:ascii="Cambria" w:hAnsi="Cambria"/>
          <w:u w:val="single"/>
          <w:lang w:val="en-GB"/>
        </w:rPr>
        <w:t>must</w:t>
      </w:r>
      <w:r w:rsidRPr="00715695">
        <w:rPr>
          <w:rFonts w:ascii="Cambria" w:hAnsi="Cambria"/>
          <w:lang w:val="en-GB"/>
        </w:rPr>
        <w:t xml:space="preserve"> be referenced by filling in column c0010 (N°) as well as the reference to the aggre</w:t>
      </w:r>
      <w:r w:rsidR="001624DD">
        <w:rPr>
          <w:rFonts w:ascii="Cambria" w:hAnsi="Cambria"/>
          <w:lang w:val="en-GB"/>
        </w:rPr>
        <w:t>gate tab T01.00 (Line, and when requested</w:t>
      </w:r>
      <w:r w:rsidRPr="00715695">
        <w:rPr>
          <w:rFonts w:ascii="Cambria" w:hAnsi="Cambria"/>
          <w:lang w:val="en-GB"/>
        </w:rPr>
        <w:t>, also the Column) as illustrated below:</w:t>
      </w:r>
    </w:p>
    <w:p w14:paraId="247B21F4" w14:textId="77777777" w:rsidR="00715695" w:rsidRDefault="00715695" w:rsidP="006550F9">
      <w:pPr>
        <w:spacing w:after="160" w:line="259" w:lineRule="auto"/>
        <w:rPr>
          <w:rFonts w:ascii="Cambria" w:hAnsi="Cambria"/>
          <w:lang w:val="en-GB"/>
        </w:rPr>
      </w:pPr>
    </w:p>
    <w:p w14:paraId="79100F0F" w14:textId="4B26A455" w:rsidR="00715695" w:rsidRDefault="00715695" w:rsidP="006550F9">
      <w:pPr>
        <w:spacing w:after="160" w:line="259" w:lineRule="auto"/>
        <w:rPr>
          <w:rFonts w:ascii="Cambria" w:hAnsi="Cambria"/>
          <w:lang w:val="en-GB"/>
        </w:rPr>
      </w:pPr>
      <w:r>
        <w:rPr>
          <w:noProof/>
          <w:lang w:val="en-GB" w:eastAsia="en-GB"/>
        </w:rPr>
        <w:drawing>
          <wp:inline distT="0" distB="0" distL="0" distR="0" wp14:anchorId="79699BFD" wp14:editId="6392325E">
            <wp:extent cx="3048000" cy="2400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0" cy="2400300"/>
                    </a:xfrm>
                    <a:prstGeom prst="rect">
                      <a:avLst/>
                    </a:prstGeom>
                  </pic:spPr>
                </pic:pic>
              </a:graphicData>
            </a:graphic>
          </wp:inline>
        </w:drawing>
      </w:r>
    </w:p>
    <w:p w14:paraId="26549EB9" w14:textId="77777777" w:rsidR="00715695" w:rsidRDefault="00715695" w:rsidP="006550F9">
      <w:pPr>
        <w:spacing w:after="160" w:line="259" w:lineRule="auto"/>
        <w:rPr>
          <w:rFonts w:ascii="Cambria" w:hAnsi="Cambria"/>
          <w:lang w:val="en-GB"/>
        </w:rPr>
      </w:pPr>
    </w:p>
    <w:p w14:paraId="347A273C" w14:textId="77777777" w:rsidR="00715695" w:rsidRPr="005A42C4" w:rsidRDefault="00715695" w:rsidP="006550F9">
      <w:pPr>
        <w:spacing w:after="160" w:line="259" w:lineRule="auto"/>
        <w:rPr>
          <w:rFonts w:ascii="Cambria" w:hAnsi="Cambria"/>
          <w:lang w:val="en-GB"/>
        </w:rPr>
      </w:pPr>
    </w:p>
    <w:p w14:paraId="6A593208" w14:textId="77777777" w:rsidR="00054486" w:rsidRDefault="00B27610">
      <w:pPr>
        <w:spacing w:after="160" w:line="259" w:lineRule="auto"/>
        <w:jc w:val="left"/>
        <w:rPr>
          <w:rFonts w:ascii="Cambria" w:hAnsi="Cambria"/>
          <w:lang w:val="en-GB"/>
        </w:rPr>
        <w:sectPr w:rsidR="00054486" w:rsidSect="0098031C">
          <w:headerReference w:type="even" r:id="rId12"/>
          <w:headerReference w:type="default" r:id="rId13"/>
          <w:footerReference w:type="even" r:id="rId14"/>
          <w:footerReference w:type="default" r:id="rId15"/>
          <w:headerReference w:type="first" r:id="rId16"/>
          <w:footerReference w:type="first" r:id="rId17"/>
          <w:pgSz w:w="11906" w:h="16838"/>
          <w:pgMar w:top="2552" w:right="1440" w:bottom="1440" w:left="1440" w:header="709" w:footer="709" w:gutter="0"/>
          <w:cols w:space="708"/>
          <w:titlePg/>
          <w:docGrid w:linePitch="360"/>
        </w:sectPr>
      </w:pPr>
      <w:r w:rsidRPr="005A42C4">
        <w:rPr>
          <w:rFonts w:ascii="Cambria" w:hAnsi="Cambria"/>
          <w:lang w:val="en-GB"/>
        </w:rPr>
        <w:br w:type="page"/>
      </w:r>
    </w:p>
    <w:p w14:paraId="124C3E20" w14:textId="4EC10B1B" w:rsidR="00054486" w:rsidRDefault="002A0232" w:rsidP="009474F1">
      <w:pPr>
        <w:pStyle w:val="Heading1"/>
        <w:rPr>
          <w:rFonts w:ascii="Cambria" w:hAnsi="Cambria"/>
          <w:lang w:val="en-GB"/>
        </w:rPr>
      </w:pPr>
      <w:bookmarkStart w:id="127" w:name="_Toc12973017"/>
      <w:bookmarkStart w:id="128" w:name="_Toc13755747"/>
      <w:r w:rsidRPr="005A42C4">
        <w:rPr>
          <w:rFonts w:ascii="Cambria" w:hAnsi="Cambria"/>
          <w:lang w:val="en-GB"/>
        </w:rPr>
        <w:lastRenderedPageBreak/>
        <w:t>Part 2</w:t>
      </w:r>
      <w:bookmarkEnd w:id="125"/>
      <w:bookmarkEnd w:id="127"/>
      <w:bookmarkEnd w:id="128"/>
    </w:p>
    <w:p w14:paraId="5ED3E459" w14:textId="137E71A3" w:rsidR="00054486" w:rsidRDefault="00054486" w:rsidP="00054486">
      <w:pPr>
        <w:pStyle w:val="Heading2"/>
        <w:rPr>
          <w:rFonts w:ascii="Cambria" w:hAnsi="Cambria"/>
          <w:lang w:val="en-GB"/>
        </w:rPr>
      </w:pPr>
      <w:bookmarkStart w:id="129" w:name="_Toc12973018"/>
      <w:bookmarkStart w:id="130" w:name="_Toc13755748"/>
      <w:r w:rsidRPr="00054486">
        <w:rPr>
          <w:rFonts w:ascii="Cambria" w:hAnsi="Cambria"/>
          <w:lang w:val="en-GB"/>
        </w:rPr>
        <w:t>SRB Resolution Templates</w:t>
      </w:r>
      <w:bookmarkEnd w:id="129"/>
      <w:bookmarkEnd w:id="130"/>
    </w:p>
    <w:p w14:paraId="74DA32EF" w14:textId="5FA94DFD" w:rsidR="00B73C2C" w:rsidRPr="00B73C2C" w:rsidRDefault="007D17EC" w:rsidP="00B73C2C">
      <w:pPr>
        <w:rPr>
          <w:lang w:val="en-GB"/>
        </w:rPr>
      </w:pPr>
      <w:r w:rsidRPr="007D17EC">
        <w:rPr>
          <w:noProof/>
          <w:lang w:val="en-GB" w:eastAsia="en-GB"/>
        </w:rPr>
        <w:drawing>
          <wp:inline distT="0" distB="0" distL="0" distR="0" wp14:anchorId="2EA2A043" wp14:editId="7C54E385">
            <wp:extent cx="7649845" cy="469455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49845" cy="4694555"/>
                    </a:xfrm>
                    <a:prstGeom prst="rect">
                      <a:avLst/>
                    </a:prstGeom>
                    <a:noFill/>
                    <a:ln>
                      <a:noFill/>
                    </a:ln>
                  </pic:spPr>
                </pic:pic>
              </a:graphicData>
            </a:graphic>
          </wp:inline>
        </w:drawing>
      </w:r>
    </w:p>
    <w:p w14:paraId="23C8443A" w14:textId="737C3AAA" w:rsidR="00B73C2C" w:rsidRDefault="00B73C2C">
      <w:pPr>
        <w:spacing w:after="160" w:line="259" w:lineRule="auto"/>
        <w:jc w:val="left"/>
        <w:rPr>
          <w:lang w:val="en-GB"/>
        </w:rPr>
      </w:pPr>
      <w:r>
        <w:rPr>
          <w:lang w:val="en-GB"/>
        </w:rPr>
        <w:br w:type="page"/>
      </w:r>
    </w:p>
    <w:p w14:paraId="7FE37CF9" w14:textId="77777777" w:rsidR="009F1C26" w:rsidRDefault="009F1C26" w:rsidP="00054486">
      <w:pPr>
        <w:rPr>
          <w:lang w:val="en-GB"/>
        </w:rPr>
      </w:pPr>
    </w:p>
    <w:p w14:paraId="2947331E" w14:textId="3D375CC3" w:rsidR="0097317E" w:rsidRDefault="0097317E" w:rsidP="00054486">
      <w:pPr>
        <w:rPr>
          <w:lang w:val="en-GB"/>
        </w:rPr>
      </w:pPr>
    </w:p>
    <w:p w14:paraId="612B6D69" w14:textId="5DAB1194" w:rsidR="0097317E" w:rsidRDefault="0097317E" w:rsidP="00054486">
      <w:pPr>
        <w:rPr>
          <w:lang w:val="en-GB"/>
        </w:rPr>
      </w:pPr>
    </w:p>
    <w:p w14:paraId="06CE3E0D" w14:textId="5FA1E7F6" w:rsidR="00A0649B" w:rsidRDefault="00A0649B" w:rsidP="00054486">
      <w:pPr>
        <w:rPr>
          <w:lang w:val="en-GB"/>
        </w:rPr>
      </w:pPr>
      <w:r w:rsidRPr="00A0649B">
        <w:rPr>
          <w:noProof/>
          <w:lang w:val="en-GB" w:eastAsia="en-GB"/>
        </w:rPr>
        <w:drawing>
          <wp:inline distT="0" distB="0" distL="0" distR="0" wp14:anchorId="7C1419BE" wp14:editId="76795C25">
            <wp:extent cx="8621379" cy="2079171"/>
            <wp:effectExtent l="0" t="0" r="889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25157" cy="2080082"/>
                    </a:xfrm>
                    <a:prstGeom prst="rect">
                      <a:avLst/>
                    </a:prstGeom>
                    <a:noFill/>
                    <a:ln>
                      <a:noFill/>
                    </a:ln>
                  </pic:spPr>
                </pic:pic>
              </a:graphicData>
            </a:graphic>
          </wp:inline>
        </w:drawing>
      </w:r>
    </w:p>
    <w:p w14:paraId="6116A786" w14:textId="77C47287" w:rsidR="009F1C26" w:rsidRDefault="009F1C26" w:rsidP="00054486">
      <w:pPr>
        <w:rPr>
          <w:lang w:val="en-GB"/>
        </w:rPr>
      </w:pPr>
    </w:p>
    <w:p w14:paraId="466AA4F2" w14:textId="403FEC3D" w:rsidR="009F1C26" w:rsidRDefault="009F1C26">
      <w:pPr>
        <w:spacing w:after="160" w:line="259" w:lineRule="auto"/>
        <w:jc w:val="left"/>
        <w:rPr>
          <w:lang w:val="en-GB"/>
        </w:rPr>
      </w:pPr>
      <w:r>
        <w:rPr>
          <w:lang w:val="en-GB"/>
        </w:rPr>
        <w:br w:type="page"/>
      </w:r>
    </w:p>
    <w:p w14:paraId="6F56BB32" w14:textId="5A52014E" w:rsidR="009F1C26" w:rsidRDefault="009F1C26" w:rsidP="00054486">
      <w:pPr>
        <w:rPr>
          <w:lang w:val="en-GB"/>
        </w:rPr>
      </w:pPr>
    </w:p>
    <w:p w14:paraId="1708F544" w14:textId="7440AD08" w:rsidR="009F1C26" w:rsidRDefault="009F1C26" w:rsidP="00054486">
      <w:pPr>
        <w:rPr>
          <w:lang w:val="en-GB"/>
        </w:rPr>
      </w:pPr>
    </w:p>
    <w:p w14:paraId="703B0BBB" w14:textId="1ABC776D" w:rsidR="009F1C26" w:rsidRDefault="009F1C26" w:rsidP="00054486">
      <w:pPr>
        <w:rPr>
          <w:lang w:val="en-GB"/>
        </w:rPr>
      </w:pPr>
    </w:p>
    <w:p w14:paraId="4B3E44AC" w14:textId="4B847B08" w:rsidR="009F1C26" w:rsidRDefault="009F1C26" w:rsidP="00054486">
      <w:pPr>
        <w:rPr>
          <w:lang w:val="en-GB"/>
        </w:rPr>
      </w:pPr>
      <w:r w:rsidRPr="009F1C26">
        <w:rPr>
          <w:noProof/>
          <w:lang w:val="en-GB" w:eastAsia="en-GB"/>
        </w:rPr>
        <w:drawing>
          <wp:inline distT="0" distB="0" distL="0" distR="0" wp14:anchorId="50C01590" wp14:editId="3C562733">
            <wp:extent cx="8501937" cy="2182586"/>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24757" cy="2188444"/>
                    </a:xfrm>
                    <a:prstGeom prst="rect">
                      <a:avLst/>
                    </a:prstGeom>
                    <a:noFill/>
                    <a:ln>
                      <a:noFill/>
                    </a:ln>
                  </pic:spPr>
                </pic:pic>
              </a:graphicData>
            </a:graphic>
          </wp:inline>
        </w:drawing>
      </w:r>
    </w:p>
    <w:p w14:paraId="3470CABB" w14:textId="06A030B4" w:rsidR="009F1C26" w:rsidRDefault="009F1C26" w:rsidP="00054486">
      <w:pPr>
        <w:rPr>
          <w:lang w:val="en-GB"/>
        </w:rPr>
      </w:pPr>
      <w:r w:rsidRPr="009F1C26">
        <w:rPr>
          <w:noProof/>
          <w:lang w:val="en-GB" w:eastAsia="en-GB"/>
        </w:rPr>
        <w:drawing>
          <wp:inline distT="0" distB="0" distL="0" distR="0" wp14:anchorId="283A47E0" wp14:editId="65D6B398">
            <wp:extent cx="8506803" cy="224790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15996" cy="2250329"/>
                    </a:xfrm>
                    <a:prstGeom prst="rect">
                      <a:avLst/>
                    </a:prstGeom>
                    <a:noFill/>
                    <a:ln>
                      <a:noFill/>
                    </a:ln>
                  </pic:spPr>
                </pic:pic>
              </a:graphicData>
            </a:graphic>
          </wp:inline>
        </w:drawing>
      </w:r>
    </w:p>
    <w:p w14:paraId="2D8B43D6" w14:textId="4C9022C1" w:rsidR="009F1C26" w:rsidRDefault="009F1C26">
      <w:pPr>
        <w:spacing w:after="160" w:line="259" w:lineRule="auto"/>
        <w:jc w:val="left"/>
        <w:rPr>
          <w:lang w:val="en-GB"/>
        </w:rPr>
      </w:pPr>
      <w:r>
        <w:rPr>
          <w:lang w:val="en-GB"/>
        </w:rPr>
        <w:br w:type="page"/>
      </w:r>
    </w:p>
    <w:p w14:paraId="50921277" w14:textId="7C347389" w:rsidR="009F1C26" w:rsidRDefault="009F1C26" w:rsidP="00054486">
      <w:pPr>
        <w:rPr>
          <w:lang w:val="en-GB"/>
        </w:rPr>
      </w:pPr>
    </w:p>
    <w:p w14:paraId="03414B28" w14:textId="3F68558B" w:rsidR="009F1C26" w:rsidRDefault="009F1C26" w:rsidP="00054486">
      <w:pPr>
        <w:rPr>
          <w:lang w:val="en-GB"/>
        </w:rPr>
      </w:pPr>
    </w:p>
    <w:p w14:paraId="20A68DEA" w14:textId="5517D4E5" w:rsidR="009F1C26" w:rsidRDefault="009F1C26" w:rsidP="00054486">
      <w:pPr>
        <w:rPr>
          <w:lang w:val="en-GB"/>
        </w:rPr>
      </w:pPr>
    </w:p>
    <w:p w14:paraId="0E4F387A" w14:textId="3AECD32F" w:rsidR="009F1C26" w:rsidRDefault="009F1C26" w:rsidP="00054486">
      <w:pPr>
        <w:rPr>
          <w:lang w:val="en-GB"/>
        </w:rPr>
      </w:pPr>
      <w:r w:rsidRPr="009F1C26">
        <w:rPr>
          <w:noProof/>
          <w:lang w:val="en-GB" w:eastAsia="en-GB"/>
        </w:rPr>
        <w:drawing>
          <wp:inline distT="0" distB="0" distL="0" distR="0" wp14:anchorId="4FCBB463" wp14:editId="0FE045B8">
            <wp:extent cx="8821291" cy="4392386"/>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30225" cy="4396834"/>
                    </a:xfrm>
                    <a:prstGeom prst="rect">
                      <a:avLst/>
                    </a:prstGeom>
                    <a:noFill/>
                    <a:ln>
                      <a:noFill/>
                    </a:ln>
                  </pic:spPr>
                </pic:pic>
              </a:graphicData>
            </a:graphic>
          </wp:inline>
        </w:drawing>
      </w:r>
    </w:p>
    <w:p w14:paraId="2A6E85B2" w14:textId="77777777" w:rsidR="009F1C26" w:rsidRDefault="009F1C26">
      <w:pPr>
        <w:spacing w:after="160" w:line="259" w:lineRule="auto"/>
        <w:jc w:val="left"/>
        <w:rPr>
          <w:lang w:val="en-GB"/>
        </w:rPr>
      </w:pPr>
      <w:r>
        <w:rPr>
          <w:lang w:val="en-GB"/>
        </w:rPr>
        <w:br w:type="page"/>
      </w:r>
    </w:p>
    <w:p w14:paraId="1C35117E" w14:textId="2F969533" w:rsidR="009F1C26" w:rsidRDefault="009F1C26" w:rsidP="00054486">
      <w:pPr>
        <w:rPr>
          <w:lang w:val="en-GB"/>
        </w:rPr>
      </w:pPr>
    </w:p>
    <w:p w14:paraId="3EE69866" w14:textId="30B8740C" w:rsidR="009F1C26" w:rsidRDefault="009F1C26" w:rsidP="00054486">
      <w:pPr>
        <w:rPr>
          <w:lang w:val="en-GB"/>
        </w:rPr>
      </w:pPr>
    </w:p>
    <w:p w14:paraId="2F48C21C" w14:textId="0629F2D1" w:rsidR="009F1C26" w:rsidRDefault="009F1C26" w:rsidP="00054486">
      <w:pPr>
        <w:rPr>
          <w:lang w:val="en-GB"/>
        </w:rPr>
      </w:pPr>
    </w:p>
    <w:p w14:paraId="1254FA6B" w14:textId="5CEDB75A" w:rsidR="009F1C26" w:rsidRDefault="009F1C26" w:rsidP="00054486">
      <w:pPr>
        <w:rPr>
          <w:lang w:val="en-GB"/>
        </w:rPr>
      </w:pPr>
      <w:r w:rsidRPr="009F1C26">
        <w:rPr>
          <w:noProof/>
          <w:lang w:val="en-GB" w:eastAsia="en-GB"/>
        </w:rPr>
        <w:drawing>
          <wp:inline distT="0" distB="0" distL="0" distR="0" wp14:anchorId="64BAA519" wp14:editId="10B02477">
            <wp:extent cx="8927613" cy="2982686"/>
            <wp:effectExtent l="0" t="0" r="698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36407" cy="2985624"/>
                    </a:xfrm>
                    <a:prstGeom prst="rect">
                      <a:avLst/>
                    </a:prstGeom>
                    <a:noFill/>
                    <a:ln>
                      <a:noFill/>
                    </a:ln>
                  </pic:spPr>
                </pic:pic>
              </a:graphicData>
            </a:graphic>
          </wp:inline>
        </w:drawing>
      </w:r>
    </w:p>
    <w:p w14:paraId="269FDB0D" w14:textId="3CACDBF0" w:rsidR="009F1C26" w:rsidRDefault="009F1C26">
      <w:pPr>
        <w:spacing w:after="160" w:line="259" w:lineRule="auto"/>
        <w:jc w:val="left"/>
        <w:rPr>
          <w:lang w:val="en-GB"/>
        </w:rPr>
      </w:pPr>
      <w:r>
        <w:rPr>
          <w:lang w:val="en-GB"/>
        </w:rPr>
        <w:br w:type="page"/>
      </w:r>
    </w:p>
    <w:p w14:paraId="4E7E6A24" w14:textId="5B3FA99B" w:rsidR="009F1C26" w:rsidRDefault="009F1C26" w:rsidP="00054486">
      <w:pPr>
        <w:rPr>
          <w:lang w:val="en-GB"/>
        </w:rPr>
      </w:pPr>
    </w:p>
    <w:p w14:paraId="345A9552" w14:textId="71C1FB44" w:rsidR="00914A10" w:rsidRDefault="00914A10" w:rsidP="00054486">
      <w:pPr>
        <w:rPr>
          <w:lang w:val="en-GB"/>
        </w:rPr>
      </w:pPr>
    </w:p>
    <w:p w14:paraId="39D16214" w14:textId="63ADB48B" w:rsidR="00914A10" w:rsidRDefault="00914A10" w:rsidP="00054486">
      <w:pPr>
        <w:rPr>
          <w:lang w:val="en-GB"/>
        </w:rPr>
      </w:pPr>
    </w:p>
    <w:p w14:paraId="19F41B2E" w14:textId="2A6F44D7" w:rsidR="00914A10" w:rsidRDefault="00914A10" w:rsidP="00054486">
      <w:pPr>
        <w:rPr>
          <w:lang w:val="en-GB"/>
        </w:rPr>
      </w:pPr>
      <w:r w:rsidRPr="00914A10">
        <w:rPr>
          <w:noProof/>
          <w:lang w:val="en-GB" w:eastAsia="en-GB"/>
        </w:rPr>
        <w:drawing>
          <wp:inline distT="0" distB="0" distL="0" distR="0" wp14:anchorId="18FCAF4C" wp14:editId="6B287DBC">
            <wp:extent cx="8889954" cy="4283529"/>
            <wp:effectExtent l="0" t="0" r="698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6772" cy="4286814"/>
                    </a:xfrm>
                    <a:prstGeom prst="rect">
                      <a:avLst/>
                    </a:prstGeom>
                    <a:noFill/>
                    <a:ln>
                      <a:noFill/>
                    </a:ln>
                  </pic:spPr>
                </pic:pic>
              </a:graphicData>
            </a:graphic>
          </wp:inline>
        </w:drawing>
      </w:r>
    </w:p>
    <w:p w14:paraId="499B5945" w14:textId="77777777" w:rsidR="00914A10" w:rsidRDefault="00914A10">
      <w:pPr>
        <w:spacing w:after="160" w:line="259" w:lineRule="auto"/>
        <w:jc w:val="left"/>
        <w:rPr>
          <w:lang w:val="en-GB"/>
        </w:rPr>
      </w:pPr>
      <w:r>
        <w:rPr>
          <w:lang w:val="en-GB"/>
        </w:rPr>
        <w:br w:type="page"/>
      </w:r>
    </w:p>
    <w:p w14:paraId="3CECB072" w14:textId="3041607B" w:rsidR="00914A10" w:rsidRDefault="00914A10" w:rsidP="00054486">
      <w:pPr>
        <w:rPr>
          <w:lang w:val="en-GB"/>
        </w:rPr>
      </w:pPr>
    </w:p>
    <w:p w14:paraId="571F0E5F" w14:textId="04462338" w:rsidR="00914A10" w:rsidRDefault="00914A10" w:rsidP="00054486">
      <w:pPr>
        <w:rPr>
          <w:lang w:val="en-GB"/>
        </w:rPr>
      </w:pPr>
    </w:p>
    <w:p w14:paraId="11C1BCFD" w14:textId="60E18C89" w:rsidR="00914A10" w:rsidRDefault="00914A10" w:rsidP="00054486">
      <w:pPr>
        <w:rPr>
          <w:lang w:val="en-GB"/>
        </w:rPr>
      </w:pPr>
    </w:p>
    <w:p w14:paraId="47D94DCB" w14:textId="46804355" w:rsidR="00914A10" w:rsidRDefault="00914A10" w:rsidP="00054486">
      <w:pPr>
        <w:rPr>
          <w:lang w:val="en-GB"/>
        </w:rPr>
      </w:pPr>
      <w:r w:rsidRPr="00914A10">
        <w:rPr>
          <w:noProof/>
          <w:lang w:val="en-GB" w:eastAsia="en-GB"/>
        </w:rPr>
        <w:drawing>
          <wp:inline distT="0" distB="0" distL="0" distR="0" wp14:anchorId="232A445D" wp14:editId="3D7AB70F">
            <wp:extent cx="8939826" cy="412024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51633" cy="4125684"/>
                    </a:xfrm>
                    <a:prstGeom prst="rect">
                      <a:avLst/>
                    </a:prstGeom>
                    <a:noFill/>
                    <a:ln>
                      <a:noFill/>
                    </a:ln>
                  </pic:spPr>
                </pic:pic>
              </a:graphicData>
            </a:graphic>
          </wp:inline>
        </w:drawing>
      </w:r>
    </w:p>
    <w:p w14:paraId="41A3E4F4" w14:textId="77777777" w:rsidR="00914A10" w:rsidRDefault="00914A10">
      <w:pPr>
        <w:spacing w:after="160" w:line="259" w:lineRule="auto"/>
        <w:jc w:val="left"/>
        <w:rPr>
          <w:lang w:val="en-GB"/>
        </w:rPr>
      </w:pPr>
      <w:r>
        <w:rPr>
          <w:lang w:val="en-GB"/>
        </w:rPr>
        <w:br w:type="page"/>
      </w:r>
    </w:p>
    <w:p w14:paraId="2FF4341F" w14:textId="6419F4F2" w:rsidR="00914A10" w:rsidRDefault="00914A10" w:rsidP="00054486">
      <w:pPr>
        <w:rPr>
          <w:lang w:val="en-GB"/>
        </w:rPr>
      </w:pPr>
    </w:p>
    <w:p w14:paraId="52D6C19B" w14:textId="06D5426B" w:rsidR="00914A10" w:rsidRDefault="00914A10" w:rsidP="00054486">
      <w:pPr>
        <w:rPr>
          <w:lang w:val="en-GB"/>
        </w:rPr>
      </w:pPr>
    </w:p>
    <w:p w14:paraId="3E61AE55" w14:textId="14628CE9" w:rsidR="00914A10" w:rsidRDefault="00914A10" w:rsidP="00054486">
      <w:pPr>
        <w:rPr>
          <w:lang w:val="en-GB"/>
        </w:rPr>
      </w:pPr>
    </w:p>
    <w:p w14:paraId="23C480B7" w14:textId="3CFA4065" w:rsidR="00914A10" w:rsidRDefault="00914A10" w:rsidP="00054486">
      <w:pPr>
        <w:rPr>
          <w:lang w:val="en-GB"/>
        </w:rPr>
      </w:pPr>
      <w:r w:rsidRPr="00914A10">
        <w:rPr>
          <w:noProof/>
          <w:lang w:val="en-GB" w:eastAsia="en-GB"/>
        </w:rPr>
        <w:drawing>
          <wp:inline distT="0" distB="0" distL="0" distR="0" wp14:anchorId="62677697" wp14:editId="3BC25A0C">
            <wp:extent cx="8993945" cy="2781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02499" cy="2783945"/>
                    </a:xfrm>
                    <a:prstGeom prst="rect">
                      <a:avLst/>
                    </a:prstGeom>
                    <a:noFill/>
                    <a:ln>
                      <a:noFill/>
                    </a:ln>
                  </pic:spPr>
                </pic:pic>
              </a:graphicData>
            </a:graphic>
          </wp:inline>
        </w:drawing>
      </w:r>
    </w:p>
    <w:p w14:paraId="678538DB" w14:textId="77777777" w:rsidR="00914A10" w:rsidRDefault="00914A10">
      <w:pPr>
        <w:spacing w:after="160" w:line="259" w:lineRule="auto"/>
        <w:jc w:val="left"/>
        <w:rPr>
          <w:lang w:val="en-GB"/>
        </w:rPr>
      </w:pPr>
      <w:r>
        <w:rPr>
          <w:lang w:val="en-GB"/>
        </w:rPr>
        <w:br w:type="page"/>
      </w:r>
    </w:p>
    <w:p w14:paraId="545E33E8" w14:textId="1B35636A" w:rsidR="00914A10" w:rsidRDefault="00914A10" w:rsidP="00054486">
      <w:pPr>
        <w:rPr>
          <w:lang w:val="en-GB"/>
        </w:rPr>
      </w:pPr>
    </w:p>
    <w:p w14:paraId="6A338C62" w14:textId="588973C7" w:rsidR="00914A10" w:rsidRDefault="00914A10" w:rsidP="00054486">
      <w:pPr>
        <w:rPr>
          <w:lang w:val="en-GB"/>
        </w:rPr>
      </w:pPr>
    </w:p>
    <w:p w14:paraId="2C2B86B1" w14:textId="3BD89F11" w:rsidR="00914A10" w:rsidRDefault="00914A10" w:rsidP="00054486">
      <w:pPr>
        <w:rPr>
          <w:lang w:val="en-GB"/>
        </w:rPr>
      </w:pPr>
    </w:p>
    <w:p w14:paraId="005B1D68" w14:textId="7397ACD9" w:rsidR="00914A10" w:rsidRDefault="00E41F40" w:rsidP="00054486">
      <w:pPr>
        <w:rPr>
          <w:lang w:val="en-GB"/>
        </w:rPr>
      </w:pPr>
      <w:r w:rsidRPr="00E41F40">
        <w:rPr>
          <w:noProof/>
          <w:lang w:val="en-GB" w:eastAsia="en-GB"/>
        </w:rPr>
        <w:drawing>
          <wp:inline distT="0" distB="0" distL="0" distR="0" wp14:anchorId="4EA4A822" wp14:editId="764AB5D5">
            <wp:extent cx="8157210" cy="406690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57210" cy="4066906"/>
                    </a:xfrm>
                    <a:prstGeom prst="rect">
                      <a:avLst/>
                    </a:prstGeom>
                    <a:noFill/>
                    <a:ln>
                      <a:noFill/>
                    </a:ln>
                  </pic:spPr>
                </pic:pic>
              </a:graphicData>
            </a:graphic>
          </wp:inline>
        </w:drawing>
      </w:r>
    </w:p>
    <w:p w14:paraId="2C6CBC47" w14:textId="77777777" w:rsidR="00914A10" w:rsidRDefault="00914A10">
      <w:pPr>
        <w:spacing w:after="160" w:line="259" w:lineRule="auto"/>
        <w:jc w:val="left"/>
        <w:rPr>
          <w:lang w:val="en-GB"/>
        </w:rPr>
      </w:pPr>
      <w:r>
        <w:rPr>
          <w:lang w:val="en-GB"/>
        </w:rPr>
        <w:br w:type="page"/>
      </w:r>
    </w:p>
    <w:p w14:paraId="5E88FCC6" w14:textId="735320B6" w:rsidR="00914A10" w:rsidRDefault="00914A10" w:rsidP="00054486">
      <w:pPr>
        <w:rPr>
          <w:lang w:val="en-GB"/>
        </w:rPr>
      </w:pPr>
    </w:p>
    <w:p w14:paraId="571AC92C" w14:textId="0DED2F38" w:rsidR="000F3F1A" w:rsidRDefault="000F3F1A" w:rsidP="00054486">
      <w:pPr>
        <w:rPr>
          <w:lang w:val="en-GB"/>
        </w:rPr>
      </w:pPr>
    </w:p>
    <w:p w14:paraId="6BD014C4" w14:textId="30AC5076" w:rsidR="000F3F1A" w:rsidRDefault="000F3F1A" w:rsidP="00054486"/>
    <w:p w14:paraId="5D97811A" w14:textId="012C8BC0" w:rsidR="000F3F1A" w:rsidRDefault="007D17EC" w:rsidP="00054486">
      <w:r w:rsidRPr="007D17EC">
        <w:rPr>
          <w:noProof/>
          <w:lang w:val="en-GB" w:eastAsia="en-GB"/>
        </w:rPr>
        <w:drawing>
          <wp:inline distT="0" distB="0" distL="0" distR="0" wp14:anchorId="6305D1A6" wp14:editId="1823509C">
            <wp:extent cx="8774393" cy="1392071"/>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88854" cy="1394365"/>
                    </a:xfrm>
                    <a:prstGeom prst="rect">
                      <a:avLst/>
                    </a:prstGeom>
                    <a:noFill/>
                    <a:ln>
                      <a:noFill/>
                    </a:ln>
                  </pic:spPr>
                </pic:pic>
              </a:graphicData>
            </a:graphic>
          </wp:inline>
        </w:drawing>
      </w:r>
    </w:p>
    <w:p w14:paraId="5D59B879" w14:textId="4C2951E8" w:rsidR="000F3F1A" w:rsidRDefault="000F3F1A" w:rsidP="00054486">
      <w:pPr>
        <w:rPr>
          <w:lang w:val="en-GB"/>
        </w:rPr>
      </w:pPr>
    </w:p>
    <w:p w14:paraId="28FD643E" w14:textId="40F4568A" w:rsidR="00054486" w:rsidRDefault="007D17EC" w:rsidP="00054486">
      <w:pPr>
        <w:rPr>
          <w:lang w:val="en-GB"/>
        </w:rPr>
      </w:pPr>
      <w:r w:rsidRPr="007D17EC">
        <w:rPr>
          <w:noProof/>
          <w:lang w:val="en-GB" w:eastAsia="en-GB"/>
        </w:rPr>
        <w:drawing>
          <wp:inline distT="0" distB="0" distL="0" distR="0" wp14:anchorId="39B2358D" wp14:editId="2F9D47EF">
            <wp:extent cx="8818737" cy="1665027"/>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61509" cy="1673103"/>
                    </a:xfrm>
                    <a:prstGeom prst="rect">
                      <a:avLst/>
                    </a:prstGeom>
                    <a:noFill/>
                    <a:ln>
                      <a:noFill/>
                    </a:ln>
                  </pic:spPr>
                </pic:pic>
              </a:graphicData>
            </a:graphic>
          </wp:inline>
        </w:drawing>
      </w:r>
    </w:p>
    <w:p w14:paraId="0EB44CCC" w14:textId="78BD5DBE" w:rsidR="000F3F1A" w:rsidRDefault="000F3F1A" w:rsidP="00054486">
      <w:pPr>
        <w:rPr>
          <w:lang w:val="en-GB"/>
        </w:rPr>
      </w:pPr>
    </w:p>
    <w:p w14:paraId="4A328FC9" w14:textId="4BEBC7D6" w:rsidR="000F3F1A" w:rsidRDefault="000F3F1A" w:rsidP="00054486">
      <w:pPr>
        <w:rPr>
          <w:lang w:val="en-GB"/>
        </w:rPr>
      </w:pPr>
      <w:r w:rsidRPr="000F3F1A">
        <w:rPr>
          <w:noProof/>
          <w:lang w:val="en-GB" w:eastAsia="en-GB"/>
        </w:rPr>
        <w:drawing>
          <wp:inline distT="0" distB="0" distL="0" distR="0" wp14:anchorId="12DF3ABD" wp14:editId="16404DAB">
            <wp:extent cx="8839884" cy="1371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68248" cy="1376001"/>
                    </a:xfrm>
                    <a:prstGeom prst="rect">
                      <a:avLst/>
                    </a:prstGeom>
                    <a:noFill/>
                    <a:ln>
                      <a:noFill/>
                    </a:ln>
                  </pic:spPr>
                </pic:pic>
              </a:graphicData>
            </a:graphic>
          </wp:inline>
        </w:drawing>
      </w:r>
    </w:p>
    <w:p w14:paraId="3AE25B84" w14:textId="0B6948B4" w:rsidR="000F3F1A" w:rsidRDefault="000F3F1A">
      <w:pPr>
        <w:spacing w:after="160" w:line="259" w:lineRule="auto"/>
        <w:jc w:val="left"/>
        <w:rPr>
          <w:lang w:val="en-GB"/>
        </w:rPr>
      </w:pPr>
      <w:r>
        <w:rPr>
          <w:lang w:val="en-GB"/>
        </w:rPr>
        <w:br w:type="page"/>
      </w:r>
    </w:p>
    <w:p w14:paraId="6116CD4C" w14:textId="6A3287BC" w:rsidR="000F3F1A" w:rsidRDefault="000F3F1A" w:rsidP="00054486">
      <w:pPr>
        <w:rPr>
          <w:lang w:val="en-GB"/>
        </w:rPr>
      </w:pPr>
    </w:p>
    <w:p w14:paraId="2F8E310F" w14:textId="4BF37301" w:rsidR="000F3F1A" w:rsidRDefault="000F3F1A" w:rsidP="00054486">
      <w:pPr>
        <w:rPr>
          <w:lang w:val="en-GB"/>
        </w:rPr>
      </w:pPr>
    </w:p>
    <w:p w14:paraId="558FD42A" w14:textId="072FC049" w:rsidR="000F3F1A" w:rsidRDefault="000F3F1A" w:rsidP="00054486">
      <w:pPr>
        <w:rPr>
          <w:lang w:val="en-GB"/>
        </w:rPr>
      </w:pPr>
      <w:r w:rsidRPr="000F3F1A">
        <w:rPr>
          <w:noProof/>
          <w:lang w:val="en-GB" w:eastAsia="en-GB"/>
        </w:rPr>
        <w:drawing>
          <wp:inline distT="0" distB="0" distL="0" distR="0" wp14:anchorId="3481340B" wp14:editId="6BB35F60">
            <wp:extent cx="8777542" cy="1589314"/>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98807" cy="1593164"/>
                    </a:xfrm>
                    <a:prstGeom prst="rect">
                      <a:avLst/>
                    </a:prstGeom>
                    <a:noFill/>
                    <a:ln>
                      <a:noFill/>
                    </a:ln>
                  </pic:spPr>
                </pic:pic>
              </a:graphicData>
            </a:graphic>
          </wp:inline>
        </w:drawing>
      </w:r>
    </w:p>
    <w:p w14:paraId="44F776E5" w14:textId="77777777" w:rsidR="000F3F1A" w:rsidRDefault="000F3F1A" w:rsidP="00054486">
      <w:pPr>
        <w:rPr>
          <w:lang w:val="en-GB"/>
        </w:rPr>
      </w:pPr>
    </w:p>
    <w:p w14:paraId="51A672AF" w14:textId="2CED236A" w:rsidR="00054486" w:rsidRDefault="000F3F1A" w:rsidP="00054486">
      <w:pPr>
        <w:rPr>
          <w:lang w:val="en-GB"/>
        </w:rPr>
      </w:pPr>
      <w:r w:rsidRPr="000F3F1A">
        <w:rPr>
          <w:noProof/>
          <w:lang w:val="en-GB" w:eastAsia="en-GB"/>
        </w:rPr>
        <w:drawing>
          <wp:inline distT="0" distB="0" distL="0" distR="0" wp14:anchorId="2F69AA55" wp14:editId="454151C0">
            <wp:extent cx="8770773" cy="1861457"/>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85335" cy="1864547"/>
                    </a:xfrm>
                    <a:prstGeom prst="rect">
                      <a:avLst/>
                    </a:prstGeom>
                    <a:noFill/>
                    <a:ln>
                      <a:noFill/>
                    </a:ln>
                  </pic:spPr>
                </pic:pic>
              </a:graphicData>
            </a:graphic>
          </wp:inline>
        </w:drawing>
      </w:r>
    </w:p>
    <w:p w14:paraId="00F41EF6" w14:textId="35BF79EF" w:rsidR="000F3F1A" w:rsidRDefault="000F3F1A" w:rsidP="00054486">
      <w:pPr>
        <w:rPr>
          <w:lang w:val="en-GB"/>
        </w:rPr>
      </w:pPr>
    </w:p>
    <w:p w14:paraId="0DB592DB" w14:textId="77777777" w:rsidR="000F3F1A" w:rsidRDefault="000F3F1A">
      <w:pPr>
        <w:spacing w:after="160" w:line="259" w:lineRule="auto"/>
        <w:jc w:val="left"/>
        <w:rPr>
          <w:lang w:val="en-GB"/>
        </w:rPr>
      </w:pPr>
      <w:r>
        <w:rPr>
          <w:lang w:val="en-GB"/>
        </w:rPr>
        <w:br w:type="page"/>
      </w:r>
    </w:p>
    <w:p w14:paraId="3A179518" w14:textId="6D787BAD" w:rsidR="000F3F1A" w:rsidRDefault="000F3F1A" w:rsidP="00054486">
      <w:pPr>
        <w:rPr>
          <w:lang w:val="en-GB"/>
        </w:rPr>
      </w:pPr>
    </w:p>
    <w:p w14:paraId="422D8559" w14:textId="2E46D50E" w:rsidR="000F3F1A" w:rsidRDefault="000F3F1A" w:rsidP="00054486">
      <w:pPr>
        <w:rPr>
          <w:lang w:val="en-GB"/>
        </w:rPr>
      </w:pPr>
    </w:p>
    <w:p w14:paraId="6E684024" w14:textId="71395065" w:rsidR="000F3F1A" w:rsidRDefault="000F3F1A" w:rsidP="00054486">
      <w:pPr>
        <w:rPr>
          <w:lang w:val="en-GB"/>
        </w:rPr>
      </w:pPr>
    </w:p>
    <w:p w14:paraId="3ECE16B9" w14:textId="77777777" w:rsidR="000F3F1A" w:rsidRDefault="000F3F1A" w:rsidP="00054486">
      <w:pPr>
        <w:rPr>
          <w:lang w:val="en-GB"/>
        </w:rPr>
      </w:pPr>
    </w:p>
    <w:p w14:paraId="2C1EE8FD" w14:textId="457BEF5A" w:rsidR="000F3F1A" w:rsidRDefault="000F3F1A" w:rsidP="00054486">
      <w:pPr>
        <w:rPr>
          <w:lang w:val="en-GB"/>
        </w:rPr>
      </w:pPr>
      <w:r w:rsidRPr="000F3F1A">
        <w:rPr>
          <w:noProof/>
          <w:lang w:val="en-GB" w:eastAsia="en-GB"/>
        </w:rPr>
        <w:drawing>
          <wp:inline distT="0" distB="0" distL="0" distR="0" wp14:anchorId="7BCA892A" wp14:editId="7FDC57DF">
            <wp:extent cx="8685240" cy="1697899"/>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03671" cy="1701502"/>
                    </a:xfrm>
                    <a:prstGeom prst="rect">
                      <a:avLst/>
                    </a:prstGeom>
                    <a:noFill/>
                    <a:ln>
                      <a:noFill/>
                    </a:ln>
                  </pic:spPr>
                </pic:pic>
              </a:graphicData>
            </a:graphic>
          </wp:inline>
        </w:drawing>
      </w:r>
    </w:p>
    <w:p w14:paraId="1E4A7F8C" w14:textId="4824CE51" w:rsidR="000F3F1A" w:rsidRDefault="000F3F1A" w:rsidP="00054486">
      <w:pPr>
        <w:rPr>
          <w:lang w:val="en-GB"/>
        </w:rPr>
      </w:pPr>
    </w:p>
    <w:p w14:paraId="470BD5BD" w14:textId="12625C39" w:rsidR="000F3F1A" w:rsidRDefault="000F3F1A" w:rsidP="00054486">
      <w:pPr>
        <w:rPr>
          <w:lang w:val="en-GB"/>
        </w:rPr>
      </w:pPr>
      <w:r w:rsidRPr="000F3F1A">
        <w:rPr>
          <w:noProof/>
          <w:lang w:val="en-GB" w:eastAsia="en-GB"/>
        </w:rPr>
        <w:drawing>
          <wp:inline distT="0" distB="0" distL="0" distR="0" wp14:anchorId="2D8A3BF3" wp14:editId="05126428">
            <wp:extent cx="8684490" cy="1572985"/>
            <wp:effectExtent l="0" t="0" r="254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93501" cy="1574617"/>
                    </a:xfrm>
                    <a:prstGeom prst="rect">
                      <a:avLst/>
                    </a:prstGeom>
                    <a:noFill/>
                    <a:ln>
                      <a:noFill/>
                    </a:ln>
                  </pic:spPr>
                </pic:pic>
              </a:graphicData>
            </a:graphic>
          </wp:inline>
        </w:drawing>
      </w:r>
    </w:p>
    <w:p w14:paraId="5086EA87" w14:textId="6D1A4421" w:rsidR="000F3F1A" w:rsidRDefault="000F3F1A">
      <w:pPr>
        <w:spacing w:after="160" w:line="259" w:lineRule="auto"/>
        <w:jc w:val="left"/>
        <w:rPr>
          <w:lang w:val="en-GB"/>
        </w:rPr>
      </w:pPr>
      <w:r>
        <w:rPr>
          <w:lang w:val="en-GB"/>
        </w:rPr>
        <w:br w:type="page"/>
      </w:r>
    </w:p>
    <w:p w14:paraId="23B4A84A" w14:textId="44E35864" w:rsidR="000F3F1A" w:rsidRDefault="000F3F1A" w:rsidP="00054486">
      <w:pPr>
        <w:rPr>
          <w:lang w:val="en-GB"/>
        </w:rPr>
      </w:pPr>
    </w:p>
    <w:p w14:paraId="60C2D9B4" w14:textId="75084848" w:rsidR="000F3F1A" w:rsidRDefault="000F3F1A" w:rsidP="00054486">
      <w:pPr>
        <w:rPr>
          <w:lang w:val="en-GB"/>
        </w:rPr>
      </w:pPr>
    </w:p>
    <w:p w14:paraId="59C9E3D2" w14:textId="4C26FE71" w:rsidR="000F3F1A" w:rsidRDefault="000F3F1A" w:rsidP="00054486">
      <w:pPr>
        <w:rPr>
          <w:lang w:val="en-GB"/>
        </w:rPr>
      </w:pPr>
      <w:r w:rsidRPr="000F3F1A">
        <w:rPr>
          <w:noProof/>
          <w:lang w:val="en-GB" w:eastAsia="en-GB"/>
        </w:rPr>
        <w:drawing>
          <wp:inline distT="0" distB="0" distL="0" distR="0" wp14:anchorId="4633F747" wp14:editId="2AF89D13">
            <wp:extent cx="8673361" cy="154604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97862" cy="1550411"/>
                    </a:xfrm>
                    <a:prstGeom prst="rect">
                      <a:avLst/>
                    </a:prstGeom>
                    <a:noFill/>
                    <a:ln>
                      <a:noFill/>
                    </a:ln>
                  </pic:spPr>
                </pic:pic>
              </a:graphicData>
            </a:graphic>
          </wp:inline>
        </w:drawing>
      </w:r>
    </w:p>
    <w:p w14:paraId="5E05BB00" w14:textId="5127399C" w:rsidR="000F3F1A" w:rsidRDefault="000F3F1A" w:rsidP="00054486">
      <w:pPr>
        <w:rPr>
          <w:lang w:val="en-GB"/>
        </w:rPr>
      </w:pPr>
    </w:p>
    <w:p w14:paraId="68D9EBB0" w14:textId="12738EF4" w:rsidR="00B73C2C" w:rsidRDefault="00B73C2C" w:rsidP="00054486">
      <w:pPr>
        <w:rPr>
          <w:lang w:val="en-GB"/>
        </w:rPr>
      </w:pPr>
      <w:r w:rsidRPr="00B73C2C">
        <w:rPr>
          <w:noProof/>
          <w:lang w:val="en-GB" w:eastAsia="en-GB"/>
        </w:rPr>
        <w:drawing>
          <wp:inline distT="0" distB="0" distL="0" distR="0" wp14:anchorId="21066ED5" wp14:editId="6E8EA2E0">
            <wp:extent cx="8672830" cy="1545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22552" cy="1554813"/>
                    </a:xfrm>
                    <a:prstGeom prst="rect">
                      <a:avLst/>
                    </a:prstGeom>
                    <a:noFill/>
                    <a:ln>
                      <a:noFill/>
                    </a:ln>
                  </pic:spPr>
                </pic:pic>
              </a:graphicData>
            </a:graphic>
          </wp:inline>
        </w:drawing>
      </w:r>
    </w:p>
    <w:p w14:paraId="5A732529" w14:textId="1167EDA1" w:rsidR="00B73C2C" w:rsidRDefault="00B73C2C" w:rsidP="00054486">
      <w:pPr>
        <w:rPr>
          <w:lang w:val="en-GB"/>
        </w:rPr>
      </w:pPr>
    </w:p>
    <w:p w14:paraId="17DC81F4" w14:textId="77777777" w:rsidR="00F850C0" w:rsidRDefault="00F850C0" w:rsidP="00054486">
      <w:pPr>
        <w:rPr>
          <w:lang w:val="en-GB"/>
        </w:rPr>
      </w:pPr>
      <w:r w:rsidRPr="00F850C0">
        <w:rPr>
          <w:noProof/>
          <w:lang w:val="en-GB" w:eastAsia="en-GB"/>
        </w:rPr>
        <w:drawing>
          <wp:inline distT="0" distB="0" distL="0" distR="0" wp14:anchorId="393A9EC0" wp14:editId="46343FC5">
            <wp:extent cx="8632380" cy="1562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57397" cy="1566627"/>
                    </a:xfrm>
                    <a:prstGeom prst="rect">
                      <a:avLst/>
                    </a:prstGeom>
                    <a:noFill/>
                    <a:ln>
                      <a:noFill/>
                    </a:ln>
                  </pic:spPr>
                </pic:pic>
              </a:graphicData>
            </a:graphic>
          </wp:inline>
        </w:drawing>
      </w:r>
    </w:p>
    <w:p w14:paraId="15F3E4F7" w14:textId="77777777" w:rsidR="00F850C0" w:rsidRDefault="00F850C0">
      <w:pPr>
        <w:spacing w:after="160" w:line="259" w:lineRule="auto"/>
        <w:jc w:val="left"/>
        <w:rPr>
          <w:lang w:val="en-GB"/>
        </w:rPr>
      </w:pPr>
      <w:r>
        <w:rPr>
          <w:lang w:val="en-GB"/>
        </w:rPr>
        <w:br w:type="page"/>
      </w:r>
    </w:p>
    <w:p w14:paraId="5B13F594" w14:textId="5C9D0C5A" w:rsidR="00F850C0" w:rsidRDefault="00F850C0" w:rsidP="00054486">
      <w:pPr>
        <w:rPr>
          <w:lang w:val="en-GB"/>
        </w:rPr>
      </w:pPr>
    </w:p>
    <w:p w14:paraId="0FEFB815" w14:textId="68BC0AA2" w:rsidR="00F850C0" w:rsidRDefault="00F850C0" w:rsidP="00054486">
      <w:pPr>
        <w:rPr>
          <w:lang w:val="en-GB"/>
        </w:rPr>
      </w:pPr>
    </w:p>
    <w:p w14:paraId="10F0CB16" w14:textId="639A415C" w:rsidR="00F850C0" w:rsidRDefault="00F850C0" w:rsidP="00054486">
      <w:pPr>
        <w:rPr>
          <w:lang w:val="en-GB"/>
        </w:rPr>
      </w:pPr>
      <w:r w:rsidRPr="00F850C0">
        <w:rPr>
          <w:noProof/>
          <w:lang w:val="en-GB" w:eastAsia="en-GB"/>
        </w:rPr>
        <w:drawing>
          <wp:inline distT="0" distB="0" distL="0" distR="0" wp14:anchorId="719F9D8E" wp14:editId="755FE297">
            <wp:extent cx="8157210" cy="147611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57210" cy="1476114"/>
                    </a:xfrm>
                    <a:prstGeom prst="rect">
                      <a:avLst/>
                    </a:prstGeom>
                    <a:noFill/>
                    <a:ln>
                      <a:noFill/>
                    </a:ln>
                  </pic:spPr>
                </pic:pic>
              </a:graphicData>
            </a:graphic>
          </wp:inline>
        </w:drawing>
      </w:r>
    </w:p>
    <w:p w14:paraId="2FCA4A9A" w14:textId="23510C0C" w:rsidR="00F850C0" w:rsidRDefault="00F850C0" w:rsidP="00054486">
      <w:pPr>
        <w:rPr>
          <w:lang w:val="en-GB"/>
        </w:rPr>
      </w:pPr>
    </w:p>
    <w:p w14:paraId="7747F89B" w14:textId="2FF66C2C" w:rsidR="00F850C0" w:rsidRDefault="00F850C0" w:rsidP="00054486">
      <w:pPr>
        <w:rPr>
          <w:lang w:val="en-GB"/>
        </w:rPr>
      </w:pPr>
      <w:r w:rsidRPr="00F850C0">
        <w:rPr>
          <w:noProof/>
          <w:lang w:val="en-GB" w:eastAsia="en-GB"/>
        </w:rPr>
        <w:drawing>
          <wp:inline distT="0" distB="0" distL="0" distR="0" wp14:anchorId="5A4AC6E5" wp14:editId="2858CB8D">
            <wp:extent cx="8157210" cy="147611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57210" cy="1476114"/>
                    </a:xfrm>
                    <a:prstGeom prst="rect">
                      <a:avLst/>
                    </a:prstGeom>
                    <a:noFill/>
                    <a:ln>
                      <a:noFill/>
                    </a:ln>
                  </pic:spPr>
                </pic:pic>
              </a:graphicData>
            </a:graphic>
          </wp:inline>
        </w:drawing>
      </w:r>
    </w:p>
    <w:p w14:paraId="1BA0B29F" w14:textId="07E06108" w:rsidR="00F850C0" w:rsidRDefault="00F850C0" w:rsidP="00054486">
      <w:pPr>
        <w:rPr>
          <w:lang w:val="en-GB"/>
        </w:rPr>
      </w:pPr>
    </w:p>
    <w:p w14:paraId="45F72EB2" w14:textId="60576E00" w:rsidR="00F850C0" w:rsidRDefault="00F850C0" w:rsidP="00054486">
      <w:pPr>
        <w:rPr>
          <w:lang w:val="en-GB"/>
        </w:rPr>
      </w:pPr>
      <w:r w:rsidRPr="00F850C0">
        <w:rPr>
          <w:noProof/>
          <w:lang w:val="en-GB" w:eastAsia="en-GB"/>
        </w:rPr>
        <w:drawing>
          <wp:inline distT="0" distB="0" distL="0" distR="0" wp14:anchorId="1C573CF0" wp14:editId="61B7D70E">
            <wp:extent cx="8157210" cy="1668219"/>
            <wp:effectExtent l="0" t="0" r="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57210" cy="1668219"/>
                    </a:xfrm>
                    <a:prstGeom prst="rect">
                      <a:avLst/>
                    </a:prstGeom>
                    <a:noFill/>
                    <a:ln>
                      <a:noFill/>
                    </a:ln>
                  </pic:spPr>
                </pic:pic>
              </a:graphicData>
            </a:graphic>
          </wp:inline>
        </w:drawing>
      </w:r>
    </w:p>
    <w:p w14:paraId="470054FE" w14:textId="76D2973E" w:rsidR="00F850C0" w:rsidRDefault="00F850C0" w:rsidP="00F850C0">
      <w:pPr>
        <w:rPr>
          <w:lang w:val="en-GB"/>
        </w:rPr>
      </w:pPr>
      <w:r>
        <w:rPr>
          <w:lang w:val="en-GB"/>
        </w:rPr>
        <w:br w:type="page"/>
      </w:r>
    </w:p>
    <w:p w14:paraId="08011DDD" w14:textId="43B7E3FB" w:rsidR="00F850C0" w:rsidRDefault="00F850C0" w:rsidP="00F850C0">
      <w:pPr>
        <w:rPr>
          <w:lang w:val="en-GB"/>
        </w:rPr>
      </w:pPr>
    </w:p>
    <w:p w14:paraId="00B1FB37" w14:textId="64FF517F" w:rsidR="00F850C0" w:rsidRDefault="00F850C0" w:rsidP="00F850C0">
      <w:pPr>
        <w:rPr>
          <w:lang w:val="en-GB"/>
        </w:rPr>
      </w:pPr>
    </w:p>
    <w:p w14:paraId="31E66F1F" w14:textId="038AF7AE" w:rsidR="00F850C0" w:rsidRDefault="00F850C0" w:rsidP="00F850C0">
      <w:pPr>
        <w:rPr>
          <w:lang w:val="en-GB"/>
        </w:rPr>
      </w:pPr>
      <w:r w:rsidRPr="00F850C0">
        <w:rPr>
          <w:noProof/>
          <w:lang w:val="en-GB" w:eastAsia="en-GB"/>
        </w:rPr>
        <w:drawing>
          <wp:inline distT="0" distB="0" distL="0" distR="0" wp14:anchorId="1F6C6875" wp14:editId="0B6907E9">
            <wp:extent cx="8157210" cy="144853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57210" cy="1448533"/>
                    </a:xfrm>
                    <a:prstGeom prst="rect">
                      <a:avLst/>
                    </a:prstGeom>
                    <a:noFill/>
                    <a:ln>
                      <a:noFill/>
                    </a:ln>
                  </pic:spPr>
                </pic:pic>
              </a:graphicData>
            </a:graphic>
          </wp:inline>
        </w:drawing>
      </w:r>
    </w:p>
    <w:p w14:paraId="3DAF7220" w14:textId="7B8A7D57" w:rsidR="00F850C0" w:rsidRDefault="00F850C0" w:rsidP="00F850C0">
      <w:pPr>
        <w:rPr>
          <w:lang w:val="en-GB"/>
        </w:rPr>
      </w:pPr>
    </w:p>
    <w:p w14:paraId="0AF75CEF" w14:textId="23E540BF" w:rsidR="00F850C0" w:rsidRDefault="00F850C0" w:rsidP="00F850C0">
      <w:pPr>
        <w:rPr>
          <w:lang w:val="en-GB"/>
        </w:rPr>
      </w:pPr>
      <w:r w:rsidRPr="00F850C0">
        <w:rPr>
          <w:noProof/>
          <w:lang w:val="en-GB" w:eastAsia="en-GB"/>
        </w:rPr>
        <w:drawing>
          <wp:inline distT="0" distB="0" distL="0" distR="0" wp14:anchorId="1CD59F0A" wp14:editId="4FE47F48">
            <wp:extent cx="8157210" cy="1615339"/>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57210" cy="1615339"/>
                    </a:xfrm>
                    <a:prstGeom prst="rect">
                      <a:avLst/>
                    </a:prstGeom>
                    <a:noFill/>
                    <a:ln>
                      <a:noFill/>
                    </a:ln>
                  </pic:spPr>
                </pic:pic>
              </a:graphicData>
            </a:graphic>
          </wp:inline>
        </w:drawing>
      </w:r>
    </w:p>
    <w:p w14:paraId="2CF19CD4" w14:textId="6B2BB517" w:rsidR="00F850C0" w:rsidRDefault="00F850C0" w:rsidP="00F850C0">
      <w:pPr>
        <w:rPr>
          <w:lang w:val="en-GB"/>
        </w:rPr>
      </w:pPr>
    </w:p>
    <w:p w14:paraId="06CF1464" w14:textId="77777777" w:rsidR="00F850C0" w:rsidRDefault="00F850C0" w:rsidP="00F850C0">
      <w:pPr>
        <w:rPr>
          <w:lang w:val="en-GB"/>
        </w:rPr>
      </w:pPr>
    </w:p>
    <w:p w14:paraId="74BD8969" w14:textId="317A7B8F" w:rsidR="00F850C0" w:rsidRDefault="00F850C0" w:rsidP="00F850C0">
      <w:pPr>
        <w:rPr>
          <w:lang w:val="en-GB"/>
        </w:rPr>
      </w:pPr>
      <w:r w:rsidRPr="00F850C0">
        <w:rPr>
          <w:noProof/>
          <w:lang w:val="en-GB" w:eastAsia="en-GB"/>
        </w:rPr>
        <w:drawing>
          <wp:inline distT="0" distB="0" distL="0" distR="0" wp14:anchorId="1E2EFA2A" wp14:editId="6FB8475E">
            <wp:extent cx="8157210" cy="1115496"/>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57210" cy="1115496"/>
                    </a:xfrm>
                    <a:prstGeom prst="rect">
                      <a:avLst/>
                    </a:prstGeom>
                    <a:noFill/>
                    <a:ln>
                      <a:noFill/>
                    </a:ln>
                  </pic:spPr>
                </pic:pic>
              </a:graphicData>
            </a:graphic>
          </wp:inline>
        </w:drawing>
      </w:r>
    </w:p>
    <w:p w14:paraId="42E2F06B" w14:textId="77777777" w:rsidR="00F850C0" w:rsidRDefault="00F850C0">
      <w:pPr>
        <w:spacing w:after="160" w:line="259" w:lineRule="auto"/>
        <w:jc w:val="left"/>
        <w:rPr>
          <w:lang w:val="en-GB"/>
        </w:rPr>
      </w:pPr>
      <w:r>
        <w:rPr>
          <w:lang w:val="en-GB"/>
        </w:rPr>
        <w:br w:type="page"/>
      </w:r>
    </w:p>
    <w:p w14:paraId="322E3380" w14:textId="6B300D1E" w:rsidR="00F850C0" w:rsidRDefault="00F850C0" w:rsidP="00F850C0">
      <w:pPr>
        <w:rPr>
          <w:lang w:val="en-GB"/>
        </w:rPr>
      </w:pPr>
    </w:p>
    <w:p w14:paraId="2D743B40" w14:textId="6008B795" w:rsidR="00F850C0" w:rsidRDefault="00F850C0" w:rsidP="00F850C0">
      <w:pPr>
        <w:rPr>
          <w:lang w:val="en-GB"/>
        </w:rPr>
      </w:pPr>
    </w:p>
    <w:p w14:paraId="4977BA47" w14:textId="35DAC767" w:rsidR="00F850C0" w:rsidRDefault="00BF028A" w:rsidP="00F850C0">
      <w:pPr>
        <w:rPr>
          <w:lang w:val="en-GB"/>
        </w:rPr>
      </w:pPr>
      <w:r w:rsidRPr="00BF028A">
        <w:rPr>
          <w:noProof/>
          <w:lang w:val="en-GB" w:eastAsia="en-GB"/>
        </w:rPr>
        <w:drawing>
          <wp:inline distT="0" distB="0" distL="0" distR="0" wp14:anchorId="414EF3E3" wp14:editId="21DAE9AF">
            <wp:extent cx="8157210" cy="135662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57210" cy="1356623"/>
                    </a:xfrm>
                    <a:prstGeom prst="rect">
                      <a:avLst/>
                    </a:prstGeom>
                    <a:noFill/>
                    <a:ln>
                      <a:noFill/>
                    </a:ln>
                  </pic:spPr>
                </pic:pic>
              </a:graphicData>
            </a:graphic>
          </wp:inline>
        </w:drawing>
      </w:r>
    </w:p>
    <w:p w14:paraId="25208520" w14:textId="5005E78B" w:rsidR="00BF028A" w:rsidRDefault="00BF028A" w:rsidP="00F850C0">
      <w:pPr>
        <w:rPr>
          <w:lang w:val="en-GB"/>
        </w:rPr>
      </w:pPr>
    </w:p>
    <w:p w14:paraId="42AAAC8C" w14:textId="77777777" w:rsidR="00BF028A" w:rsidRDefault="00BF028A" w:rsidP="00F850C0">
      <w:pPr>
        <w:rPr>
          <w:lang w:val="en-GB"/>
        </w:rPr>
      </w:pPr>
      <w:r w:rsidRPr="00BF028A">
        <w:rPr>
          <w:noProof/>
          <w:lang w:val="en-GB" w:eastAsia="en-GB"/>
        </w:rPr>
        <w:drawing>
          <wp:inline distT="0" distB="0" distL="0" distR="0" wp14:anchorId="3DB8D7A4" wp14:editId="5941ED5D">
            <wp:extent cx="8157210" cy="147611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157210" cy="1476114"/>
                    </a:xfrm>
                    <a:prstGeom prst="rect">
                      <a:avLst/>
                    </a:prstGeom>
                    <a:noFill/>
                    <a:ln>
                      <a:noFill/>
                    </a:ln>
                  </pic:spPr>
                </pic:pic>
              </a:graphicData>
            </a:graphic>
          </wp:inline>
        </w:drawing>
      </w:r>
    </w:p>
    <w:p w14:paraId="40444F61" w14:textId="77777777" w:rsidR="0027491A" w:rsidRDefault="0027491A" w:rsidP="00F850C0">
      <w:pPr>
        <w:rPr>
          <w:lang w:val="en-GB"/>
        </w:rPr>
      </w:pPr>
    </w:p>
    <w:p w14:paraId="78860BD5" w14:textId="4FBC8EEA" w:rsidR="0027491A" w:rsidRDefault="0027491A" w:rsidP="00F850C0">
      <w:pPr>
        <w:rPr>
          <w:lang w:val="en-GB"/>
        </w:rPr>
      </w:pPr>
      <w:r w:rsidRPr="0027491A">
        <w:rPr>
          <w:noProof/>
          <w:lang w:val="en-GB" w:eastAsia="en-GB"/>
        </w:rPr>
        <w:drawing>
          <wp:inline distT="0" distB="0" distL="0" distR="0" wp14:anchorId="2A61DFA1" wp14:editId="45B2164E">
            <wp:extent cx="7081157" cy="1687922"/>
            <wp:effectExtent l="0" t="0" r="5715"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096940" cy="1691684"/>
                    </a:xfrm>
                    <a:prstGeom prst="rect">
                      <a:avLst/>
                    </a:prstGeom>
                    <a:noFill/>
                    <a:ln>
                      <a:noFill/>
                    </a:ln>
                  </pic:spPr>
                </pic:pic>
              </a:graphicData>
            </a:graphic>
          </wp:inline>
        </w:drawing>
      </w:r>
    </w:p>
    <w:p w14:paraId="7839E435" w14:textId="77777777" w:rsidR="00F850C0" w:rsidRDefault="00F850C0" w:rsidP="00F850C0">
      <w:pPr>
        <w:rPr>
          <w:lang w:val="en-GB"/>
        </w:rPr>
      </w:pPr>
    </w:p>
    <w:p w14:paraId="13B00185" w14:textId="24B175C9" w:rsidR="00F850C0" w:rsidRPr="00054486" w:rsidRDefault="00F850C0" w:rsidP="00054486">
      <w:pPr>
        <w:rPr>
          <w:lang w:val="en-GB"/>
        </w:rPr>
        <w:sectPr w:rsidR="00F850C0" w:rsidRPr="00054486" w:rsidSect="00054486">
          <w:pgSz w:w="16838" w:h="11906" w:orient="landscape"/>
          <w:pgMar w:top="1440" w:right="2552" w:bottom="1440" w:left="1440" w:header="709" w:footer="709" w:gutter="0"/>
          <w:cols w:space="708"/>
          <w:titlePg/>
          <w:docGrid w:linePitch="360"/>
        </w:sectPr>
      </w:pPr>
    </w:p>
    <w:p w14:paraId="0F3FFBD4" w14:textId="5E9E16E3" w:rsidR="002A0232" w:rsidRPr="005A42C4" w:rsidRDefault="00054486" w:rsidP="009474F1">
      <w:pPr>
        <w:pStyle w:val="Heading1"/>
        <w:rPr>
          <w:rFonts w:ascii="Cambria" w:hAnsi="Cambria"/>
          <w:lang w:val="en-GB"/>
        </w:rPr>
      </w:pPr>
      <w:bookmarkStart w:id="131" w:name="_Toc12973019"/>
      <w:bookmarkStart w:id="132" w:name="_Toc13755749"/>
      <w:r>
        <w:rPr>
          <w:rFonts w:ascii="Cambria" w:hAnsi="Cambria"/>
          <w:lang w:val="en-GB"/>
        </w:rPr>
        <w:lastRenderedPageBreak/>
        <w:t>Part 3</w:t>
      </w:r>
      <w:bookmarkEnd w:id="131"/>
      <w:bookmarkEnd w:id="132"/>
    </w:p>
    <w:p w14:paraId="24ACA0C0" w14:textId="77777777" w:rsidR="002A0232" w:rsidRPr="005A42C4" w:rsidRDefault="002A0232" w:rsidP="009474F1">
      <w:pPr>
        <w:pStyle w:val="Heading2"/>
        <w:rPr>
          <w:rFonts w:ascii="Cambria" w:hAnsi="Cambria"/>
          <w:lang w:val="en-GB"/>
        </w:rPr>
      </w:pPr>
      <w:bookmarkStart w:id="133" w:name="_Toc12973020"/>
      <w:bookmarkStart w:id="134" w:name="_Toc13755750"/>
      <w:r w:rsidRPr="005A42C4">
        <w:rPr>
          <w:rFonts w:ascii="Cambria" w:hAnsi="Cambria"/>
          <w:lang w:val="en-GB"/>
        </w:rPr>
        <w:t xml:space="preserve">Template Related </w:t>
      </w:r>
      <w:r w:rsidR="00341874" w:rsidRPr="005A42C4">
        <w:rPr>
          <w:rFonts w:ascii="Cambria" w:hAnsi="Cambria"/>
          <w:lang w:val="en-GB"/>
        </w:rPr>
        <w:t>Guidance</w:t>
      </w:r>
      <w:bookmarkEnd w:id="133"/>
      <w:bookmarkEnd w:id="134"/>
    </w:p>
    <w:p w14:paraId="0D9FAA17" w14:textId="7F575F4E" w:rsidR="00EF5362" w:rsidRPr="005A42C4" w:rsidRDefault="00A52EDD" w:rsidP="00B27610">
      <w:pPr>
        <w:pStyle w:val="Heading3"/>
        <w:numPr>
          <w:ilvl w:val="0"/>
          <w:numId w:val="22"/>
        </w:numPr>
        <w:ind w:left="426" w:hanging="426"/>
        <w:rPr>
          <w:rFonts w:ascii="Cambria" w:hAnsi="Cambria"/>
          <w:lang w:val="en-GB"/>
        </w:rPr>
      </w:pPr>
      <w:bookmarkStart w:id="135" w:name="_Toc12973021"/>
      <w:bookmarkStart w:id="136" w:name="_Toc13755751"/>
      <w:r w:rsidRPr="005A42C4">
        <w:rPr>
          <w:rFonts w:ascii="Cambria" w:hAnsi="Cambria"/>
          <w:lang w:val="en-GB"/>
        </w:rPr>
        <w:t>T99.00</w:t>
      </w:r>
      <w:r w:rsidR="00EF5362" w:rsidRPr="005A42C4">
        <w:rPr>
          <w:rFonts w:ascii="Cambria" w:hAnsi="Cambria"/>
          <w:lang w:val="en-GB"/>
        </w:rPr>
        <w:t xml:space="preserve"> - Identification of the Report</w:t>
      </w:r>
      <w:bookmarkEnd w:id="135"/>
      <w:bookmarkEnd w:id="136"/>
    </w:p>
    <w:p w14:paraId="414CDAA5" w14:textId="7992378F" w:rsidR="00FF0F87" w:rsidRPr="005A42C4" w:rsidRDefault="00FF0F87" w:rsidP="00EF5362">
      <w:pPr>
        <w:pStyle w:val="Heading4"/>
        <w:rPr>
          <w:rFonts w:ascii="Cambria" w:hAnsi="Cambria"/>
          <w:lang w:val="en-GB"/>
        </w:rPr>
      </w:pPr>
      <w:r w:rsidRPr="005A42C4">
        <w:rPr>
          <w:rFonts w:ascii="Cambria" w:hAnsi="Cambria"/>
          <w:lang w:val="en-GB"/>
        </w:rPr>
        <w:t xml:space="preserve">Note that ALL fields in T99.00 </w:t>
      </w:r>
      <w:r w:rsidRPr="00054486">
        <w:rPr>
          <w:rFonts w:ascii="Cambria" w:hAnsi="Cambria"/>
          <w:u w:val="single"/>
          <w:lang w:val="en-GB"/>
        </w:rPr>
        <w:t>must</w:t>
      </w:r>
      <w:r w:rsidRPr="005A42C4">
        <w:rPr>
          <w:rFonts w:ascii="Cambria" w:hAnsi="Cambria"/>
          <w:lang w:val="en-GB"/>
        </w:rPr>
        <w:t xml:space="preserve"> be filled.</w:t>
      </w:r>
    </w:p>
    <w:p w14:paraId="3C6CBED0" w14:textId="009B75FC" w:rsidR="00EF5362" w:rsidRPr="005A42C4" w:rsidRDefault="00DA3A5D" w:rsidP="00EF5362">
      <w:pPr>
        <w:pStyle w:val="Heading4"/>
        <w:rPr>
          <w:rFonts w:ascii="Cambria" w:hAnsi="Cambria"/>
          <w:lang w:val="en-GB"/>
        </w:rPr>
      </w:pPr>
      <w:r w:rsidRPr="005A42C4">
        <w:rPr>
          <w:rFonts w:ascii="Cambria" w:hAnsi="Cambria"/>
          <w:lang w:val="en-GB"/>
        </w:rPr>
        <w:t>r00</w:t>
      </w:r>
      <w:r w:rsidR="00EF5362" w:rsidRPr="005A42C4">
        <w:rPr>
          <w:rFonts w:ascii="Cambria" w:hAnsi="Cambria"/>
          <w:lang w:val="en-GB"/>
        </w:rPr>
        <w:t>10 - Name of Legal Entity</w:t>
      </w:r>
    </w:p>
    <w:p w14:paraId="32E1075B" w14:textId="77777777" w:rsidR="00EF5362" w:rsidRPr="005A42C4" w:rsidRDefault="00EF5362" w:rsidP="00EF5362">
      <w:pPr>
        <w:rPr>
          <w:rFonts w:ascii="Cambria" w:hAnsi="Cambria"/>
          <w:lang w:val="en-GB"/>
        </w:rPr>
      </w:pPr>
      <w:r w:rsidRPr="005A42C4">
        <w:rPr>
          <w:rFonts w:ascii="Cambria" w:hAnsi="Cambria"/>
          <w:lang w:val="en-GB"/>
        </w:rPr>
        <w:t xml:space="preserve">Free-form text identification of incorporation name of the </w:t>
      </w:r>
      <w:r w:rsidR="006131BD" w:rsidRPr="005A42C4">
        <w:rPr>
          <w:rFonts w:ascii="Cambria" w:hAnsi="Cambria"/>
          <w:lang w:val="en-GB"/>
        </w:rPr>
        <w:t>entity</w:t>
      </w:r>
      <w:r w:rsidRPr="005A42C4">
        <w:rPr>
          <w:rFonts w:ascii="Cambria" w:hAnsi="Cambria"/>
          <w:lang w:val="en-GB"/>
        </w:rPr>
        <w:t xml:space="preserve"> for which the table is reported. Please state the official name as it is listed in corporate acts, including the indication of the incorporation form.</w:t>
      </w:r>
    </w:p>
    <w:p w14:paraId="7DE40712" w14:textId="047CCFDB" w:rsidR="00EF5362" w:rsidRPr="005A42C4" w:rsidRDefault="00DA3A5D" w:rsidP="00EF5362">
      <w:pPr>
        <w:pStyle w:val="Heading4"/>
        <w:rPr>
          <w:rFonts w:ascii="Cambria" w:hAnsi="Cambria"/>
          <w:lang w:val="en-GB"/>
        </w:rPr>
      </w:pPr>
      <w:r w:rsidRPr="005A42C4">
        <w:rPr>
          <w:rFonts w:ascii="Cambria" w:hAnsi="Cambria"/>
          <w:lang w:val="en-GB"/>
        </w:rPr>
        <w:t>r00</w:t>
      </w:r>
      <w:r w:rsidR="00EF5362" w:rsidRPr="005A42C4">
        <w:rPr>
          <w:rFonts w:ascii="Cambria" w:hAnsi="Cambria"/>
          <w:lang w:val="en-GB"/>
        </w:rPr>
        <w:t xml:space="preserve">20 - </w:t>
      </w:r>
      <w:r w:rsidR="0068638A" w:rsidRPr="005A42C4">
        <w:rPr>
          <w:rFonts w:ascii="Cambria" w:hAnsi="Cambria"/>
          <w:lang w:val="en-GB"/>
        </w:rPr>
        <w:t>LEI/MFI/Local Identifier of Legal Entity</w:t>
      </w:r>
    </w:p>
    <w:p w14:paraId="2FF035A7" w14:textId="77777777" w:rsidR="00EF5362" w:rsidRPr="005A42C4" w:rsidRDefault="00EF5362" w:rsidP="00EF5362">
      <w:pPr>
        <w:rPr>
          <w:rFonts w:ascii="Cambria" w:hAnsi="Cambria"/>
          <w:szCs w:val="20"/>
          <w:lang w:val="en-GB" w:eastAsia="en-GB"/>
        </w:rPr>
      </w:pPr>
      <w:r w:rsidRPr="005A42C4">
        <w:rPr>
          <w:rFonts w:ascii="Cambria" w:hAnsi="Cambria"/>
          <w:lang w:val="en-GB"/>
        </w:rPr>
        <w:t xml:space="preserve">The unique LEI code for the entity, in line with requirements by EMIR or Dodd-Frank, for which the report is submitted. In the absence of a LEI, the </w:t>
      </w:r>
      <w:r w:rsidRPr="005A42C4">
        <w:rPr>
          <w:rFonts w:ascii="Cambria" w:hAnsi="Cambria"/>
          <w:szCs w:val="20"/>
          <w:lang w:val="en-GB" w:eastAsia="en-GB"/>
        </w:rPr>
        <w:t xml:space="preserve">ECB Monetary Financial Institutions unique IDentifier (MFI ID) of the </w:t>
      </w:r>
      <w:r w:rsidR="008539D8" w:rsidRPr="005A42C4">
        <w:rPr>
          <w:rFonts w:ascii="Cambria" w:hAnsi="Cambria"/>
          <w:szCs w:val="20"/>
          <w:lang w:val="en-GB" w:eastAsia="en-GB"/>
        </w:rPr>
        <w:t>entity</w:t>
      </w:r>
      <w:r w:rsidRPr="005A42C4">
        <w:rPr>
          <w:rFonts w:ascii="Cambria" w:hAnsi="Cambria"/>
          <w:szCs w:val="20"/>
          <w:lang w:val="en-GB" w:eastAsia="en-GB"/>
        </w:rPr>
        <w:t xml:space="preserve"> for use in RIAD should be used. </w:t>
      </w:r>
      <w:r w:rsidR="00BD4B0B" w:rsidRPr="005A42C4">
        <w:rPr>
          <w:rFonts w:ascii="Cambria" w:hAnsi="Cambria"/>
          <w:szCs w:val="20"/>
          <w:lang w:val="en-GB" w:eastAsia="en-GB"/>
        </w:rPr>
        <w:t>In absence of both such identifiers, a local identifier shall be used (please contact your NRA for this).</w:t>
      </w:r>
    </w:p>
    <w:p w14:paraId="2D4701BD" w14:textId="45C2B784" w:rsidR="00EF5362" w:rsidRPr="005A42C4" w:rsidRDefault="00DA3A5D" w:rsidP="00EF5362">
      <w:pPr>
        <w:pStyle w:val="Heading4"/>
        <w:rPr>
          <w:rFonts w:ascii="Cambria" w:hAnsi="Cambria"/>
          <w:lang w:val="en-GB"/>
        </w:rPr>
      </w:pPr>
      <w:r w:rsidRPr="005A42C4">
        <w:rPr>
          <w:rFonts w:ascii="Cambria" w:hAnsi="Cambria"/>
          <w:lang w:val="en-GB"/>
        </w:rPr>
        <w:t>r00</w:t>
      </w:r>
      <w:r w:rsidR="00EF5362" w:rsidRPr="005A42C4">
        <w:rPr>
          <w:rFonts w:ascii="Cambria" w:hAnsi="Cambria"/>
          <w:lang w:val="en-GB"/>
        </w:rPr>
        <w:t xml:space="preserve">30 - Country of </w:t>
      </w:r>
      <w:r w:rsidR="0067666A">
        <w:rPr>
          <w:rFonts w:ascii="Cambria" w:hAnsi="Cambria"/>
          <w:lang w:val="en-GB"/>
        </w:rPr>
        <w:t>I</w:t>
      </w:r>
      <w:r w:rsidR="00EF5362" w:rsidRPr="005A42C4">
        <w:rPr>
          <w:rFonts w:ascii="Cambria" w:hAnsi="Cambria"/>
          <w:lang w:val="en-GB"/>
        </w:rPr>
        <w:t>ncorporation</w:t>
      </w:r>
    </w:p>
    <w:p w14:paraId="181A80BC" w14:textId="25661D64" w:rsidR="00EF5362" w:rsidRPr="005A42C4" w:rsidRDefault="00EC1A4C" w:rsidP="00EF5362">
      <w:pPr>
        <w:rPr>
          <w:rFonts w:ascii="Cambria" w:hAnsi="Cambria"/>
          <w:lang w:val="en-GB"/>
        </w:rPr>
      </w:pPr>
      <w:r w:rsidRPr="005A42C4">
        <w:rPr>
          <w:rFonts w:ascii="Cambria" w:hAnsi="Cambria"/>
          <w:lang w:val="en-GB"/>
        </w:rPr>
        <w:t>The country of incorporation of the entity, which may be a Member State or a third country.</w:t>
      </w:r>
    </w:p>
    <w:p w14:paraId="4BC9744D" w14:textId="486338B6" w:rsidR="0018198C" w:rsidRPr="005A42C4" w:rsidRDefault="00DA3A5D" w:rsidP="0018198C">
      <w:pPr>
        <w:pStyle w:val="Heading4"/>
        <w:rPr>
          <w:rFonts w:ascii="Cambria" w:hAnsi="Cambria"/>
          <w:lang w:val="en-GB"/>
        </w:rPr>
      </w:pPr>
      <w:r w:rsidRPr="005A42C4">
        <w:rPr>
          <w:rFonts w:ascii="Cambria" w:hAnsi="Cambria"/>
          <w:lang w:val="en-GB"/>
        </w:rPr>
        <w:t>r00</w:t>
      </w:r>
      <w:r w:rsidR="0018198C" w:rsidRPr="005A42C4">
        <w:rPr>
          <w:rFonts w:ascii="Cambria" w:hAnsi="Cambria"/>
          <w:lang w:val="en-GB"/>
        </w:rPr>
        <w:t>35 - Member State reporting</w:t>
      </w:r>
    </w:p>
    <w:p w14:paraId="0A7F9D2B" w14:textId="21837842" w:rsidR="0018198C" w:rsidRPr="005A42C4" w:rsidRDefault="0018198C" w:rsidP="0018198C">
      <w:pPr>
        <w:rPr>
          <w:rFonts w:ascii="Cambria" w:hAnsi="Cambria"/>
          <w:lang w:val="en-GB"/>
        </w:rPr>
      </w:pPr>
      <w:r w:rsidRPr="005A42C4">
        <w:rPr>
          <w:rFonts w:ascii="Cambria" w:hAnsi="Cambria"/>
          <w:lang w:val="en-GB"/>
        </w:rPr>
        <w:t xml:space="preserve">The </w:t>
      </w:r>
      <w:r w:rsidR="00DE7525">
        <w:rPr>
          <w:rFonts w:ascii="Cambria" w:hAnsi="Cambria"/>
          <w:lang w:val="en-GB"/>
        </w:rPr>
        <w:t>name</w:t>
      </w:r>
      <w:r w:rsidRPr="005A42C4">
        <w:rPr>
          <w:rFonts w:ascii="Cambria" w:hAnsi="Cambria"/>
          <w:lang w:val="en-GB"/>
        </w:rPr>
        <w:t xml:space="preserve"> of the Member State, from the predefined list of 28 EU Member States, to which the entity is providing the report.</w:t>
      </w:r>
    </w:p>
    <w:p w14:paraId="5CBD4360" w14:textId="378244CD" w:rsidR="008539D8" w:rsidRPr="005A42C4" w:rsidRDefault="00DA3A5D" w:rsidP="00EF5362">
      <w:pPr>
        <w:pStyle w:val="Heading4"/>
        <w:rPr>
          <w:rFonts w:ascii="Cambria" w:hAnsi="Cambria"/>
          <w:lang w:val="en-GB"/>
        </w:rPr>
      </w:pPr>
      <w:r w:rsidRPr="005A42C4">
        <w:rPr>
          <w:rFonts w:ascii="Cambria" w:hAnsi="Cambria"/>
          <w:lang w:val="en-GB"/>
        </w:rPr>
        <w:t>r00</w:t>
      </w:r>
      <w:r w:rsidR="00EF5362" w:rsidRPr="005A42C4">
        <w:rPr>
          <w:rFonts w:ascii="Cambria" w:hAnsi="Cambria"/>
          <w:lang w:val="en-GB"/>
        </w:rPr>
        <w:t>40</w:t>
      </w:r>
      <w:r w:rsidR="000F72D4" w:rsidRPr="005A42C4">
        <w:rPr>
          <w:rFonts w:ascii="Cambria" w:hAnsi="Cambria"/>
          <w:lang w:val="en-GB"/>
        </w:rPr>
        <w:t xml:space="preserve"> - Name of the Ultimate Parent Entity</w:t>
      </w:r>
    </w:p>
    <w:p w14:paraId="63CEA206" w14:textId="77777777" w:rsidR="000F72D4" w:rsidRPr="005A42C4" w:rsidRDefault="008539D8" w:rsidP="000F570C">
      <w:pPr>
        <w:rPr>
          <w:rFonts w:ascii="Cambria" w:hAnsi="Cambria"/>
          <w:lang w:val="en-GB"/>
        </w:rPr>
      </w:pPr>
      <w:r w:rsidRPr="005A42C4">
        <w:rPr>
          <w:rFonts w:ascii="Cambria" w:hAnsi="Cambria"/>
          <w:lang w:val="en-GB"/>
        </w:rPr>
        <w:t>Free-form text identification of incorporation name of the ultimate parent entity of the reporting entity. Please state the official name as it is listed in corporate acts, including the indication of the incorporation form.</w:t>
      </w:r>
    </w:p>
    <w:p w14:paraId="092AAC74" w14:textId="4F48FA72" w:rsidR="00184A1B" w:rsidRPr="005A42C4" w:rsidRDefault="00184A1B" w:rsidP="000F570C">
      <w:pPr>
        <w:rPr>
          <w:rFonts w:ascii="Cambria" w:hAnsi="Cambria"/>
          <w:lang w:val="en-GB"/>
        </w:rPr>
      </w:pPr>
      <w:r w:rsidRPr="005A42C4">
        <w:rPr>
          <w:rFonts w:ascii="Cambria" w:hAnsi="Cambria"/>
          <w:lang w:val="en-GB"/>
        </w:rPr>
        <w:t xml:space="preserve">In order to determine the ultimate parent entity, reference is made to the definition of a parent entity in Article 2.1(6) of Directive 2014/59/EU, which refers to Article 4.1(15)(a) of Regulation (EU) No 575/2013, which in turn refers to Articles 1 and 2 of Directive 83/349/EEC. As such, the ultimate parent entity is the highest level of consolidation of a given group. For the purposes of the reporting of </w:t>
      </w:r>
      <w:r w:rsidR="00A52EDD" w:rsidRPr="005A42C4">
        <w:rPr>
          <w:rFonts w:ascii="Cambria" w:hAnsi="Cambria"/>
          <w:lang w:val="en-GB"/>
        </w:rPr>
        <w:t>T99.00</w:t>
      </w:r>
      <w:r w:rsidRPr="005A42C4">
        <w:rPr>
          <w:rFonts w:ascii="Cambria" w:hAnsi="Cambria"/>
          <w:lang w:val="en-GB"/>
        </w:rPr>
        <w:t xml:space="preserve">, rows </w:t>
      </w:r>
      <w:r w:rsidR="00DA3A5D" w:rsidRPr="005A42C4">
        <w:rPr>
          <w:rFonts w:ascii="Cambria" w:hAnsi="Cambria"/>
          <w:lang w:val="en-GB"/>
        </w:rPr>
        <w:t>r00</w:t>
      </w:r>
      <w:r w:rsidRPr="005A42C4">
        <w:rPr>
          <w:rFonts w:ascii="Cambria" w:hAnsi="Cambria"/>
          <w:lang w:val="en-GB"/>
        </w:rPr>
        <w:t xml:space="preserve">40 and </w:t>
      </w:r>
      <w:r w:rsidR="00DA3A5D" w:rsidRPr="005A42C4">
        <w:rPr>
          <w:rFonts w:ascii="Cambria" w:hAnsi="Cambria"/>
          <w:lang w:val="en-GB"/>
        </w:rPr>
        <w:t>r00</w:t>
      </w:r>
      <w:r w:rsidRPr="005A42C4">
        <w:rPr>
          <w:rFonts w:ascii="Cambria" w:hAnsi="Cambria"/>
          <w:lang w:val="en-GB"/>
        </w:rPr>
        <w:t>50 all entities of a group shall be taken into account, irrespective of their country of incorporation.</w:t>
      </w:r>
    </w:p>
    <w:p w14:paraId="4526A3AD" w14:textId="3DBCCFF1" w:rsidR="000F72D4" w:rsidRPr="005A42C4" w:rsidRDefault="00DA3A5D" w:rsidP="00EF5362">
      <w:pPr>
        <w:pStyle w:val="Heading4"/>
        <w:rPr>
          <w:rFonts w:ascii="Cambria" w:hAnsi="Cambria"/>
          <w:lang w:val="en-GB"/>
        </w:rPr>
      </w:pPr>
      <w:r w:rsidRPr="005A42C4">
        <w:rPr>
          <w:rFonts w:ascii="Cambria" w:hAnsi="Cambria"/>
          <w:lang w:val="en-GB"/>
        </w:rPr>
        <w:t>r00</w:t>
      </w:r>
      <w:r w:rsidR="000F72D4" w:rsidRPr="005A42C4">
        <w:rPr>
          <w:rFonts w:ascii="Cambria" w:hAnsi="Cambria"/>
          <w:lang w:val="en-GB"/>
        </w:rPr>
        <w:t>50 - LEI Code of the Ultimate Parent Entity</w:t>
      </w:r>
    </w:p>
    <w:p w14:paraId="7661ECE6" w14:textId="77777777" w:rsidR="008539D8" w:rsidRPr="005A42C4" w:rsidRDefault="008539D8" w:rsidP="000F570C">
      <w:pPr>
        <w:rPr>
          <w:rFonts w:ascii="Cambria" w:hAnsi="Cambria"/>
          <w:lang w:val="en-GB"/>
        </w:rPr>
      </w:pPr>
      <w:r w:rsidRPr="005A42C4">
        <w:rPr>
          <w:rFonts w:ascii="Cambria" w:hAnsi="Cambria"/>
          <w:lang w:val="en-GB"/>
        </w:rPr>
        <w:t xml:space="preserve">The unique LEI code for the ultimate parent entity, in line with requirements by EMIR or Dodd-Frank, for which the report is submitted. In the absence of a LEI, the </w:t>
      </w:r>
      <w:r w:rsidRPr="005A42C4">
        <w:rPr>
          <w:rFonts w:ascii="Cambria" w:hAnsi="Cambria"/>
          <w:szCs w:val="20"/>
          <w:lang w:val="en-GB" w:eastAsia="en-GB"/>
        </w:rPr>
        <w:t xml:space="preserve">ECB Monetary Financial Institutions unique IDentifier (MFI ID) of the entity for use in RIAD should be used. In absence of both such identifiers, </w:t>
      </w:r>
      <w:r w:rsidR="00BD4B0B" w:rsidRPr="005A42C4">
        <w:rPr>
          <w:rFonts w:ascii="Cambria" w:hAnsi="Cambria"/>
          <w:szCs w:val="20"/>
          <w:lang w:val="en-GB" w:eastAsia="en-GB"/>
        </w:rPr>
        <w:t>a local identifier shall be used (please contact your NRA for this).</w:t>
      </w:r>
    </w:p>
    <w:p w14:paraId="25CA3795" w14:textId="0F8212F1" w:rsidR="00EF5362" w:rsidRPr="005A42C4" w:rsidRDefault="00DA3A5D" w:rsidP="00EF5362">
      <w:pPr>
        <w:pStyle w:val="Heading4"/>
        <w:rPr>
          <w:rFonts w:ascii="Cambria" w:hAnsi="Cambria"/>
          <w:lang w:val="en-GB"/>
        </w:rPr>
      </w:pPr>
      <w:r w:rsidRPr="005A42C4">
        <w:rPr>
          <w:rFonts w:ascii="Cambria" w:hAnsi="Cambria"/>
          <w:lang w:val="en-GB"/>
        </w:rPr>
        <w:t>r00</w:t>
      </w:r>
      <w:r w:rsidR="000F72D4" w:rsidRPr="005A42C4">
        <w:rPr>
          <w:rFonts w:ascii="Cambria" w:hAnsi="Cambria"/>
          <w:lang w:val="en-GB"/>
        </w:rPr>
        <w:t>60</w:t>
      </w:r>
      <w:r w:rsidR="00D42988" w:rsidRPr="005A42C4">
        <w:rPr>
          <w:rFonts w:ascii="Cambria" w:hAnsi="Cambria"/>
          <w:lang w:val="en-GB"/>
        </w:rPr>
        <w:t xml:space="preserve"> </w:t>
      </w:r>
      <w:r w:rsidR="00EF5362" w:rsidRPr="005A42C4">
        <w:rPr>
          <w:rFonts w:ascii="Cambria" w:hAnsi="Cambria"/>
          <w:lang w:val="en-GB"/>
        </w:rPr>
        <w:t>- Resolution Status</w:t>
      </w:r>
    </w:p>
    <w:p w14:paraId="59C304B4" w14:textId="3759F233" w:rsidR="00EF5362" w:rsidRPr="005A42C4" w:rsidRDefault="00EF5362" w:rsidP="00EF5362">
      <w:pPr>
        <w:rPr>
          <w:rFonts w:ascii="Cambria" w:hAnsi="Cambria"/>
          <w:lang w:val="en-GB"/>
        </w:rPr>
      </w:pPr>
      <w:r w:rsidRPr="005A42C4">
        <w:rPr>
          <w:rFonts w:ascii="Cambria" w:hAnsi="Cambria"/>
          <w:lang w:val="en-GB"/>
        </w:rPr>
        <w:t>Status of the entity in resolution plan, either ‘Point of Entry’ or ‘Other</w:t>
      </w:r>
      <w:r w:rsidR="008E6D33">
        <w:rPr>
          <w:rFonts w:ascii="Cambria" w:hAnsi="Cambria"/>
          <w:lang w:val="en-GB"/>
        </w:rPr>
        <w:t xml:space="preserve"> Entity</w:t>
      </w:r>
      <w:r w:rsidRPr="005A42C4">
        <w:rPr>
          <w:rFonts w:ascii="Cambria" w:hAnsi="Cambria"/>
          <w:lang w:val="en-GB"/>
        </w:rPr>
        <w:t>’.</w:t>
      </w:r>
    </w:p>
    <w:p w14:paraId="2998425C" w14:textId="5CD8319C" w:rsidR="00EF5362" w:rsidRPr="005A42C4" w:rsidRDefault="00DA3A5D" w:rsidP="00EF5362">
      <w:pPr>
        <w:pStyle w:val="Heading4"/>
        <w:rPr>
          <w:rFonts w:ascii="Cambria" w:hAnsi="Cambria"/>
          <w:lang w:val="en-GB"/>
        </w:rPr>
      </w:pPr>
      <w:r w:rsidRPr="005A42C4">
        <w:rPr>
          <w:rFonts w:ascii="Cambria" w:hAnsi="Cambria"/>
          <w:lang w:val="en-GB"/>
        </w:rPr>
        <w:t>r00</w:t>
      </w:r>
      <w:r w:rsidR="000F72D4" w:rsidRPr="005A42C4">
        <w:rPr>
          <w:rFonts w:ascii="Cambria" w:hAnsi="Cambria"/>
          <w:lang w:val="en-GB"/>
        </w:rPr>
        <w:t>70</w:t>
      </w:r>
      <w:r w:rsidR="00EF5362" w:rsidRPr="005A42C4">
        <w:rPr>
          <w:rFonts w:ascii="Cambria" w:hAnsi="Cambria"/>
          <w:lang w:val="en-GB"/>
        </w:rPr>
        <w:t xml:space="preserve"> - </w:t>
      </w:r>
      <w:r w:rsidR="00D42988" w:rsidRPr="005A42C4">
        <w:rPr>
          <w:rFonts w:ascii="Cambria" w:hAnsi="Cambria"/>
          <w:lang w:val="en-GB"/>
        </w:rPr>
        <w:t>Level of Consolidation</w:t>
      </w:r>
    </w:p>
    <w:p w14:paraId="51369C83" w14:textId="77777777" w:rsidR="00EF5362" w:rsidRPr="005A42C4" w:rsidRDefault="00EF5362" w:rsidP="00EF5362">
      <w:pPr>
        <w:rPr>
          <w:rFonts w:ascii="Cambria" w:hAnsi="Cambria"/>
          <w:lang w:val="en-GB"/>
        </w:rPr>
      </w:pPr>
      <w:r w:rsidRPr="005A42C4">
        <w:rPr>
          <w:rFonts w:ascii="Cambria" w:hAnsi="Cambria"/>
          <w:lang w:val="en-GB"/>
        </w:rPr>
        <w:t>Type of situation of the report, either ‘Consolidat</w:t>
      </w:r>
      <w:r w:rsidR="009A4A48" w:rsidRPr="005A42C4">
        <w:rPr>
          <w:rFonts w:ascii="Cambria" w:hAnsi="Cambria"/>
          <w:lang w:val="en-GB"/>
        </w:rPr>
        <w:t>ed</w:t>
      </w:r>
      <w:r w:rsidRPr="005A42C4">
        <w:rPr>
          <w:rFonts w:ascii="Cambria" w:hAnsi="Cambria"/>
          <w:lang w:val="en-GB"/>
        </w:rPr>
        <w:t>’, ‘Sub-consolidat</w:t>
      </w:r>
      <w:r w:rsidR="009A4A48" w:rsidRPr="005A42C4">
        <w:rPr>
          <w:rFonts w:ascii="Cambria" w:hAnsi="Cambria"/>
          <w:lang w:val="en-GB"/>
        </w:rPr>
        <w:t>ed</w:t>
      </w:r>
      <w:r w:rsidRPr="005A42C4">
        <w:rPr>
          <w:rFonts w:ascii="Cambria" w:hAnsi="Cambria"/>
          <w:lang w:val="en-GB"/>
        </w:rPr>
        <w:t>’, ‘Resolution Group’ or ‘</w:t>
      </w:r>
      <w:r w:rsidR="009A4A48" w:rsidRPr="005A42C4">
        <w:rPr>
          <w:rFonts w:ascii="Cambria" w:hAnsi="Cambria"/>
          <w:lang w:val="en-GB"/>
        </w:rPr>
        <w:t>Individual</w:t>
      </w:r>
      <w:r w:rsidRPr="005A42C4">
        <w:rPr>
          <w:rFonts w:ascii="Cambria" w:hAnsi="Cambria"/>
          <w:lang w:val="en-GB"/>
        </w:rPr>
        <w:t>’.</w:t>
      </w:r>
    </w:p>
    <w:p w14:paraId="371F264E" w14:textId="6C7FD3D7" w:rsidR="00EF5362" w:rsidRPr="005A42C4" w:rsidRDefault="00DA3A5D" w:rsidP="00EF5362">
      <w:pPr>
        <w:pStyle w:val="Heading4"/>
        <w:rPr>
          <w:rFonts w:ascii="Cambria" w:hAnsi="Cambria"/>
          <w:lang w:val="en-GB"/>
        </w:rPr>
      </w:pPr>
      <w:r w:rsidRPr="005A42C4">
        <w:rPr>
          <w:rFonts w:ascii="Cambria" w:hAnsi="Cambria"/>
          <w:lang w:val="en-GB"/>
        </w:rPr>
        <w:t>r00</w:t>
      </w:r>
      <w:r w:rsidR="000F72D4" w:rsidRPr="005A42C4">
        <w:rPr>
          <w:rFonts w:ascii="Cambria" w:hAnsi="Cambria"/>
          <w:lang w:val="en-GB"/>
        </w:rPr>
        <w:t>8</w:t>
      </w:r>
      <w:r w:rsidR="00EF5362" w:rsidRPr="005A42C4">
        <w:rPr>
          <w:rFonts w:ascii="Cambria" w:hAnsi="Cambria"/>
          <w:lang w:val="en-GB"/>
        </w:rPr>
        <w:t>0 - Accounting Standard</w:t>
      </w:r>
    </w:p>
    <w:p w14:paraId="410D5A93" w14:textId="77777777" w:rsidR="00EF5362" w:rsidRPr="005A42C4" w:rsidRDefault="00EF5362" w:rsidP="00EF5362">
      <w:pPr>
        <w:rPr>
          <w:rFonts w:ascii="Cambria" w:hAnsi="Cambria"/>
          <w:lang w:val="en-GB"/>
        </w:rPr>
      </w:pPr>
      <w:r w:rsidRPr="005A42C4">
        <w:rPr>
          <w:rFonts w:ascii="Cambria" w:hAnsi="Cambria"/>
          <w:lang w:val="en-GB"/>
        </w:rPr>
        <w:t>Identification of applicable accounting standards, either ‘IFRS’ or ‘N</w:t>
      </w:r>
      <w:r w:rsidR="009A4A48" w:rsidRPr="005A42C4">
        <w:rPr>
          <w:rFonts w:ascii="Cambria" w:hAnsi="Cambria"/>
          <w:lang w:val="en-GB"/>
        </w:rPr>
        <w:t xml:space="preserve">ational </w:t>
      </w:r>
      <w:r w:rsidRPr="005A42C4">
        <w:rPr>
          <w:rFonts w:ascii="Cambria" w:hAnsi="Cambria"/>
          <w:lang w:val="en-GB"/>
        </w:rPr>
        <w:t>GAAP’. There might be differences within a same group or across reporting types for a single entity.</w:t>
      </w:r>
    </w:p>
    <w:p w14:paraId="385883E2" w14:textId="1B449819" w:rsidR="00EF5362" w:rsidRPr="005A42C4" w:rsidRDefault="00DA3A5D" w:rsidP="00EF5362">
      <w:pPr>
        <w:pStyle w:val="Heading4"/>
        <w:rPr>
          <w:rFonts w:ascii="Cambria" w:hAnsi="Cambria"/>
          <w:lang w:val="en-GB"/>
        </w:rPr>
      </w:pPr>
      <w:r w:rsidRPr="005A42C4">
        <w:rPr>
          <w:rFonts w:ascii="Cambria" w:hAnsi="Cambria"/>
          <w:lang w:val="en-GB"/>
        </w:rPr>
        <w:t>r00</w:t>
      </w:r>
      <w:r w:rsidR="000F72D4" w:rsidRPr="005A42C4">
        <w:rPr>
          <w:rFonts w:ascii="Cambria" w:hAnsi="Cambria"/>
          <w:lang w:val="en-GB"/>
        </w:rPr>
        <w:t>9</w:t>
      </w:r>
      <w:r w:rsidR="009A34F0">
        <w:rPr>
          <w:rFonts w:ascii="Cambria" w:hAnsi="Cambria"/>
          <w:lang w:val="en-GB"/>
        </w:rPr>
        <w:t>1</w:t>
      </w:r>
      <w:r w:rsidR="00EF5362" w:rsidRPr="005A42C4">
        <w:rPr>
          <w:rFonts w:ascii="Cambria" w:hAnsi="Cambria"/>
          <w:lang w:val="en-GB"/>
        </w:rPr>
        <w:t xml:space="preserve"> - Art. 7</w:t>
      </w:r>
      <w:r w:rsidR="00A76683">
        <w:rPr>
          <w:rFonts w:ascii="Cambria" w:hAnsi="Cambria"/>
          <w:lang w:val="en-GB"/>
        </w:rPr>
        <w:t xml:space="preserve"> or Art. 10</w:t>
      </w:r>
      <w:r w:rsidR="00EF5362" w:rsidRPr="005A42C4">
        <w:rPr>
          <w:rFonts w:ascii="Cambria" w:hAnsi="Cambria"/>
          <w:lang w:val="en-GB"/>
        </w:rPr>
        <w:t xml:space="preserve"> CRR Waiver</w:t>
      </w:r>
    </w:p>
    <w:p w14:paraId="36C83DB5" w14:textId="608A6697" w:rsidR="00EF5362" w:rsidRPr="005A42C4" w:rsidRDefault="00EF5362" w:rsidP="00EF5362">
      <w:pPr>
        <w:rPr>
          <w:rFonts w:ascii="Cambria" w:hAnsi="Cambria"/>
          <w:lang w:val="en-GB"/>
        </w:rPr>
      </w:pPr>
      <w:r w:rsidRPr="005A42C4">
        <w:rPr>
          <w:rFonts w:ascii="Cambria" w:hAnsi="Cambria"/>
          <w:lang w:val="en-GB"/>
        </w:rPr>
        <w:t xml:space="preserve">The </w:t>
      </w:r>
      <w:r w:rsidR="00F400B4" w:rsidRPr="005A42C4">
        <w:rPr>
          <w:rFonts w:ascii="Cambria" w:hAnsi="Cambria"/>
          <w:lang w:val="en-GB"/>
        </w:rPr>
        <w:t>entities</w:t>
      </w:r>
      <w:r w:rsidRPr="005A42C4">
        <w:rPr>
          <w:rFonts w:ascii="Cambria" w:hAnsi="Cambria"/>
          <w:lang w:val="en-GB"/>
        </w:rPr>
        <w:t xml:space="preserve"> should identify </w:t>
      </w:r>
      <w:r w:rsidR="003D589C" w:rsidRPr="005A42C4">
        <w:rPr>
          <w:rFonts w:ascii="Cambria" w:hAnsi="Cambria"/>
          <w:lang w:val="en-GB"/>
        </w:rPr>
        <w:t xml:space="preserve">if the competent authority has waived the application of Article 6(1) of Regulation (EU) No 575/2013 according to Article 7 </w:t>
      </w:r>
      <w:r w:rsidR="00A76683">
        <w:rPr>
          <w:rFonts w:ascii="Cambria" w:hAnsi="Cambria"/>
          <w:lang w:val="en-GB"/>
        </w:rPr>
        <w:t xml:space="preserve">or Article 10 </w:t>
      </w:r>
      <w:r w:rsidR="003D589C" w:rsidRPr="005A42C4">
        <w:rPr>
          <w:rFonts w:ascii="Cambria" w:hAnsi="Cambria"/>
          <w:lang w:val="en-GB"/>
        </w:rPr>
        <w:t>of Regulation (EU) No 575/2013</w:t>
      </w:r>
      <w:r w:rsidR="00A76683">
        <w:rPr>
          <w:rFonts w:ascii="Cambria" w:hAnsi="Cambria"/>
          <w:lang w:val="en-GB"/>
        </w:rPr>
        <w:t xml:space="preserve">, and indicate </w:t>
      </w:r>
      <w:r w:rsidRPr="005A42C4">
        <w:rPr>
          <w:rFonts w:ascii="Cambria" w:hAnsi="Cambria"/>
          <w:lang w:val="en-GB"/>
        </w:rPr>
        <w:t>either ‘</w:t>
      </w:r>
      <w:r w:rsidR="00563F37" w:rsidRPr="00563F37">
        <w:rPr>
          <w:rFonts w:ascii="Cambria" w:hAnsi="Cambria"/>
          <w:lang w:val="en-GB"/>
        </w:rPr>
        <w:t>No (Article 7</w:t>
      </w:r>
      <w:r w:rsidR="00A76683">
        <w:rPr>
          <w:rFonts w:ascii="Cambria" w:hAnsi="Cambria"/>
          <w:lang w:val="en-GB"/>
        </w:rPr>
        <w:t xml:space="preserve"> or 10</w:t>
      </w:r>
      <w:r w:rsidR="00563F37" w:rsidRPr="00563F37">
        <w:rPr>
          <w:rFonts w:ascii="Cambria" w:hAnsi="Cambria"/>
          <w:lang w:val="en-GB"/>
        </w:rPr>
        <w:t xml:space="preserve"> CRR Waiver)</w:t>
      </w:r>
      <w:r w:rsidRPr="005A42C4">
        <w:rPr>
          <w:rFonts w:ascii="Cambria" w:hAnsi="Cambria"/>
          <w:lang w:val="en-GB"/>
        </w:rPr>
        <w:t xml:space="preserve">’, ‘Yes </w:t>
      </w:r>
      <w:r w:rsidR="00A76683" w:rsidRPr="00563F37">
        <w:rPr>
          <w:rFonts w:ascii="Cambria" w:hAnsi="Cambria"/>
          <w:lang w:val="en-GB"/>
        </w:rPr>
        <w:t>(Article 7</w:t>
      </w:r>
      <w:r w:rsidR="00A76683">
        <w:rPr>
          <w:rFonts w:ascii="Cambria" w:hAnsi="Cambria"/>
          <w:lang w:val="en-GB"/>
        </w:rPr>
        <w:t xml:space="preserve"> or 10</w:t>
      </w:r>
      <w:r w:rsidR="00A76683" w:rsidRPr="00563F37">
        <w:rPr>
          <w:rFonts w:ascii="Cambria" w:hAnsi="Cambria"/>
          <w:lang w:val="en-GB"/>
        </w:rPr>
        <w:t xml:space="preserve"> CRR Waiver)</w:t>
      </w:r>
      <w:r w:rsidRPr="005A42C4">
        <w:rPr>
          <w:rFonts w:ascii="Cambria" w:hAnsi="Cambria"/>
          <w:lang w:val="en-GB"/>
        </w:rPr>
        <w:t>’.</w:t>
      </w:r>
      <w:r w:rsidR="00A0649B">
        <w:rPr>
          <w:rFonts w:ascii="Cambria" w:hAnsi="Cambria"/>
          <w:lang w:val="en-GB"/>
        </w:rPr>
        <w:t>s</w:t>
      </w:r>
    </w:p>
    <w:p w14:paraId="3AF422F8" w14:textId="123BCF89" w:rsidR="00EF5362" w:rsidRPr="005A42C4" w:rsidRDefault="00EF5362" w:rsidP="00EF5362">
      <w:pPr>
        <w:rPr>
          <w:rFonts w:ascii="Cambria" w:hAnsi="Cambria"/>
          <w:lang w:val="en-GB"/>
        </w:rPr>
      </w:pPr>
      <w:r w:rsidRPr="005A42C4">
        <w:rPr>
          <w:rFonts w:ascii="Cambria" w:hAnsi="Cambria"/>
          <w:lang w:val="en-GB"/>
        </w:rPr>
        <w:lastRenderedPageBreak/>
        <w:t xml:space="preserve">If such waivers are applicable, this will mean that certain information on the level of own funds and capital requirements may not be readily available. </w:t>
      </w:r>
      <w:r w:rsidR="003D589C" w:rsidRPr="005A42C4">
        <w:rPr>
          <w:rFonts w:ascii="Cambria" w:hAnsi="Cambria"/>
          <w:lang w:val="en-GB"/>
        </w:rPr>
        <w:t>Never</w:t>
      </w:r>
      <w:r w:rsidRPr="005A42C4">
        <w:rPr>
          <w:rFonts w:ascii="Cambria" w:hAnsi="Cambria"/>
          <w:lang w:val="en-GB"/>
        </w:rPr>
        <w:t xml:space="preserve">theless </w:t>
      </w:r>
      <w:r w:rsidR="003D589C" w:rsidRPr="005A42C4">
        <w:rPr>
          <w:rFonts w:ascii="Cambria" w:hAnsi="Cambria"/>
          <w:lang w:val="en-GB"/>
        </w:rPr>
        <w:t xml:space="preserve">entities are </w:t>
      </w:r>
      <w:r w:rsidRPr="005A42C4">
        <w:rPr>
          <w:rFonts w:ascii="Cambria" w:hAnsi="Cambria"/>
          <w:lang w:val="en-GB"/>
        </w:rPr>
        <w:t>encouraged to provide accurate data if available, or use a proxy such as a contribution approach as is for example requested in COREP C6.2.</w:t>
      </w:r>
    </w:p>
    <w:p w14:paraId="42EE523E" w14:textId="1B957451" w:rsidR="00EF5362" w:rsidRPr="005A42C4" w:rsidRDefault="00DA3A5D" w:rsidP="00B27610">
      <w:pPr>
        <w:pStyle w:val="Heading4"/>
        <w:rPr>
          <w:rFonts w:ascii="Cambria" w:hAnsi="Cambria"/>
          <w:lang w:val="en-GB"/>
        </w:rPr>
      </w:pPr>
      <w:r w:rsidRPr="005A42C4">
        <w:rPr>
          <w:rFonts w:ascii="Cambria" w:hAnsi="Cambria"/>
          <w:lang w:val="en-GB"/>
        </w:rPr>
        <w:t>R01</w:t>
      </w:r>
      <w:r w:rsidR="00EF5362" w:rsidRPr="005A42C4">
        <w:rPr>
          <w:rFonts w:ascii="Cambria" w:hAnsi="Cambria"/>
          <w:lang w:val="en-GB"/>
        </w:rPr>
        <w:t>00 - Reporting Date</w:t>
      </w:r>
    </w:p>
    <w:p w14:paraId="4BD5FFAC" w14:textId="77777777" w:rsidR="00EF5362" w:rsidRPr="005A42C4" w:rsidRDefault="004F2346" w:rsidP="00EF5362">
      <w:pPr>
        <w:rPr>
          <w:rFonts w:ascii="Cambria" w:hAnsi="Cambria"/>
          <w:lang w:val="en-GB"/>
        </w:rPr>
      </w:pPr>
      <w:r w:rsidRPr="005A42C4">
        <w:rPr>
          <w:rFonts w:ascii="Cambria" w:hAnsi="Cambria"/>
          <w:lang w:val="en-GB"/>
        </w:rPr>
        <w:t>Reporting/reference date of the reported data</w:t>
      </w:r>
      <w:r w:rsidR="000F72D4" w:rsidRPr="005A42C4">
        <w:rPr>
          <w:rFonts w:ascii="Cambria" w:hAnsi="Cambria"/>
          <w:lang w:val="en-GB"/>
        </w:rPr>
        <w:t xml:space="preserve"> in XML-format (i.e. YYYY-MM-DD).</w:t>
      </w:r>
    </w:p>
    <w:p w14:paraId="6BBE3995" w14:textId="77777777" w:rsidR="002D6809" w:rsidRPr="005A42C4" w:rsidRDefault="002B5DBA" w:rsidP="00B27610">
      <w:pPr>
        <w:pStyle w:val="Heading3"/>
        <w:numPr>
          <w:ilvl w:val="0"/>
          <w:numId w:val="22"/>
        </w:numPr>
        <w:ind w:left="426" w:hanging="426"/>
        <w:rPr>
          <w:rFonts w:ascii="Cambria" w:hAnsi="Cambria"/>
          <w:lang w:val="en-GB"/>
        </w:rPr>
      </w:pPr>
      <w:bookmarkStart w:id="137" w:name="_Toc12973022"/>
      <w:bookmarkStart w:id="138" w:name="_Toc13755752"/>
      <w:r w:rsidRPr="005A42C4">
        <w:rPr>
          <w:rFonts w:ascii="Cambria" w:hAnsi="Cambria"/>
          <w:lang w:val="en-GB"/>
        </w:rPr>
        <w:t>T01.00</w:t>
      </w:r>
      <w:r w:rsidR="009202A4" w:rsidRPr="005A42C4">
        <w:rPr>
          <w:rFonts w:ascii="Cambria" w:hAnsi="Cambria"/>
          <w:lang w:val="en-GB"/>
        </w:rPr>
        <w:t xml:space="preserve"> - Liability Structure</w:t>
      </w:r>
      <w:bookmarkEnd w:id="137"/>
      <w:bookmarkEnd w:id="138"/>
    </w:p>
    <w:p w14:paraId="75FAC6DB" w14:textId="673CF37C" w:rsidR="00B9129C" w:rsidRDefault="00B9129C" w:rsidP="009474F1">
      <w:pPr>
        <w:rPr>
          <w:rFonts w:ascii="Cambria" w:hAnsi="Cambria"/>
          <w:lang w:val="en-GB"/>
        </w:rPr>
      </w:pPr>
      <w:r>
        <w:rPr>
          <w:rFonts w:ascii="Cambria" w:hAnsi="Cambria"/>
          <w:lang w:val="en-GB"/>
        </w:rPr>
        <w:t>This template covers the reporting requirements for CIR 2018/1624 template Z 02.00 “Liability Structure”.</w:t>
      </w:r>
    </w:p>
    <w:p w14:paraId="7BB3E9A2" w14:textId="27760717" w:rsidR="00E20340" w:rsidRDefault="00A61B44" w:rsidP="009474F1">
      <w:pPr>
        <w:rPr>
          <w:rFonts w:ascii="Cambria" w:hAnsi="Cambria"/>
          <w:lang w:val="en-GB"/>
        </w:rPr>
      </w:pPr>
      <w:r w:rsidRPr="00C243CD">
        <w:rPr>
          <w:rFonts w:ascii="Cambria" w:hAnsi="Cambria"/>
          <w:lang w:val="en-GB"/>
        </w:rPr>
        <w:t xml:space="preserve">These categories include intragroup balances and issuances under non-EU MS </w:t>
      </w:r>
      <w:r w:rsidR="00306D3C" w:rsidRPr="00C243CD">
        <w:rPr>
          <w:rFonts w:ascii="Cambria" w:hAnsi="Cambria"/>
          <w:lang w:val="en-GB"/>
        </w:rPr>
        <w:t>jurisdiction</w:t>
      </w:r>
      <w:r w:rsidRPr="00C243CD">
        <w:rPr>
          <w:rFonts w:ascii="Cambria" w:hAnsi="Cambria"/>
          <w:lang w:val="en-GB"/>
        </w:rPr>
        <w:t xml:space="preserve">/law. The details of these sub-categories are </w:t>
      </w:r>
      <w:r w:rsidR="00306D3C" w:rsidRPr="00C243CD">
        <w:rPr>
          <w:rFonts w:ascii="Cambria" w:hAnsi="Cambria"/>
          <w:lang w:val="en-GB"/>
        </w:rPr>
        <w:t xml:space="preserve">requested as details under the “Total” column. </w:t>
      </w:r>
      <w:r w:rsidR="00370E85" w:rsidRPr="00C243CD">
        <w:rPr>
          <w:rFonts w:ascii="Cambria" w:hAnsi="Cambria"/>
          <w:lang w:val="en-GB"/>
        </w:rPr>
        <w:t xml:space="preserve">Priority shall be given to the lines of excluded liabilities (e.g. senior unsecured debt that qualifies as critical service liability shall be recorded in line </w:t>
      </w:r>
      <w:r w:rsidR="00DA3A5D" w:rsidRPr="00C243CD">
        <w:rPr>
          <w:rFonts w:ascii="Cambria" w:hAnsi="Cambria"/>
          <w:lang w:val="en-GB"/>
        </w:rPr>
        <w:t>r01</w:t>
      </w:r>
      <w:r w:rsidR="00471BA2" w:rsidRPr="00C243CD">
        <w:rPr>
          <w:rFonts w:ascii="Cambria" w:hAnsi="Cambria"/>
          <w:lang w:val="en-GB"/>
        </w:rPr>
        <w:t>8</w:t>
      </w:r>
      <w:r w:rsidR="00370E85" w:rsidRPr="00C243CD">
        <w:rPr>
          <w:rFonts w:ascii="Cambria" w:hAnsi="Cambria"/>
          <w:lang w:val="en-GB"/>
        </w:rPr>
        <w:t xml:space="preserve">0 and not in line </w:t>
      </w:r>
      <w:r w:rsidR="00DA3A5D" w:rsidRPr="00C243CD">
        <w:rPr>
          <w:rFonts w:ascii="Cambria" w:hAnsi="Cambria"/>
          <w:lang w:val="en-GB"/>
        </w:rPr>
        <w:t>r03</w:t>
      </w:r>
      <w:r w:rsidR="00471BA2" w:rsidRPr="00C243CD">
        <w:rPr>
          <w:rFonts w:ascii="Cambria" w:hAnsi="Cambria"/>
          <w:lang w:val="en-GB"/>
        </w:rPr>
        <w:t>60</w:t>
      </w:r>
      <w:r w:rsidR="00370E85" w:rsidRPr="00C243CD">
        <w:rPr>
          <w:rFonts w:ascii="Cambria" w:hAnsi="Cambria"/>
          <w:lang w:val="en-GB"/>
        </w:rPr>
        <w:t>).</w:t>
      </w:r>
    </w:p>
    <w:p w14:paraId="5B5D2C3E" w14:textId="77777777" w:rsidR="002063B4" w:rsidRDefault="002063B4" w:rsidP="002063B4">
      <w:pPr>
        <w:rPr>
          <w:rFonts w:ascii="Cambria" w:hAnsi="Cambria"/>
          <w:lang w:val="en-GB"/>
        </w:rPr>
      </w:pPr>
    </w:p>
    <w:p w14:paraId="095C686B" w14:textId="20773160" w:rsidR="002063B4" w:rsidRPr="002063B4" w:rsidRDefault="002063B4" w:rsidP="002063B4">
      <w:pPr>
        <w:rPr>
          <w:rFonts w:ascii="Cambria" w:hAnsi="Cambria"/>
          <w:lang w:val="en-GB"/>
        </w:rPr>
      </w:pPr>
      <w:r>
        <w:rPr>
          <w:rFonts w:ascii="Cambria" w:hAnsi="Cambria"/>
          <w:lang w:val="en-GB"/>
        </w:rPr>
        <w:t xml:space="preserve">Note that </w:t>
      </w:r>
      <w:r w:rsidRPr="002063B4">
        <w:rPr>
          <w:rFonts w:ascii="Cambria" w:hAnsi="Cambria"/>
          <w:lang w:val="en-GB"/>
        </w:rPr>
        <w:t>for practical reasons, when a liability meets multiple criteria and could be reported in several rows in the range of r110 to r200, it can be reported only once and should be so using a top to bottom approach.</w:t>
      </w:r>
    </w:p>
    <w:p w14:paraId="391E7AFB" w14:textId="77777777" w:rsidR="002063B4" w:rsidRPr="002063B4" w:rsidRDefault="002063B4" w:rsidP="002063B4">
      <w:pPr>
        <w:rPr>
          <w:rFonts w:ascii="Cambria" w:hAnsi="Cambria"/>
          <w:lang w:val="en-GB"/>
        </w:rPr>
      </w:pPr>
    </w:p>
    <w:p w14:paraId="62E27300" w14:textId="6160CC2B" w:rsidR="002063B4" w:rsidRPr="005A42C4" w:rsidRDefault="002063B4" w:rsidP="002063B4">
      <w:pPr>
        <w:rPr>
          <w:rFonts w:ascii="Cambria" w:hAnsi="Cambria"/>
          <w:lang w:val="en-GB"/>
        </w:rPr>
      </w:pPr>
      <w:r w:rsidRPr="002063B4">
        <w:rPr>
          <w:rFonts w:ascii="Cambria" w:hAnsi="Cambria"/>
          <w:lang w:val="en-GB"/>
        </w:rPr>
        <w:t>For example, a secured finance transaction with an institution and having an original maturity of less than 7 days, shall be reported in r120 (secured liabilities - collateralized part), rather than r150 (institution liabilities &lt; 7 days).</w:t>
      </w:r>
    </w:p>
    <w:p w14:paraId="76EC51D4" w14:textId="77777777" w:rsidR="00D649F0" w:rsidRPr="005A42C4" w:rsidRDefault="00D649F0" w:rsidP="00D649F0">
      <w:pPr>
        <w:pStyle w:val="Heading4"/>
        <w:rPr>
          <w:rFonts w:ascii="Cambria" w:hAnsi="Cambria"/>
          <w:u w:val="single"/>
          <w:lang w:val="en-GB"/>
        </w:rPr>
      </w:pPr>
      <w:r w:rsidRPr="005A42C4">
        <w:rPr>
          <w:rFonts w:ascii="Cambria" w:hAnsi="Cambria"/>
          <w:u w:val="single"/>
          <w:lang w:val="en-GB"/>
        </w:rPr>
        <w:t>Columns</w:t>
      </w:r>
    </w:p>
    <w:p w14:paraId="630C301E" w14:textId="400EF605" w:rsidR="00D649F0" w:rsidRPr="005A42C4" w:rsidRDefault="00D649F0" w:rsidP="00D649F0">
      <w:pPr>
        <w:rPr>
          <w:rFonts w:ascii="Cambria" w:hAnsi="Cambria"/>
          <w:lang w:val="en-GB"/>
        </w:rPr>
      </w:pPr>
      <w:r w:rsidRPr="005A42C4">
        <w:rPr>
          <w:rFonts w:ascii="Cambria" w:hAnsi="Cambria"/>
          <w:lang w:val="en-GB"/>
        </w:rPr>
        <w:t>Categories c001x to c010x are mutually exclusive, which means that no instrument or amount should be reported in more than one of these columns of the breakdown.</w:t>
      </w:r>
    </w:p>
    <w:p w14:paraId="659EE3B6" w14:textId="77777777" w:rsidR="00D649F0" w:rsidRPr="005A42C4" w:rsidRDefault="00D649F0" w:rsidP="00D649F0">
      <w:pPr>
        <w:pStyle w:val="Heading4"/>
        <w:rPr>
          <w:rFonts w:ascii="Cambria" w:hAnsi="Cambria"/>
          <w:lang w:val="en-GB"/>
        </w:rPr>
      </w:pPr>
      <w:r w:rsidRPr="005A42C4">
        <w:rPr>
          <w:rFonts w:ascii="Cambria" w:hAnsi="Cambria"/>
          <w:lang w:val="en-GB"/>
        </w:rPr>
        <w:t>c001x - Households</w:t>
      </w:r>
    </w:p>
    <w:p w14:paraId="1900E24E" w14:textId="77777777" w:rsidR="00D649F0" w:rsidRPr="005A42C4" w:rsidRDefault="00D649F0" w:rsidP="00D649F0">
      <w:pPr>
        <w:pStyle w:val="Heading4"/>
        <w:rPr>
          <w:rFonts w:ascii="Cambria" w:eastAsiaTheme="minorHAnsi" w:hAnsi="Cambria" w:cstheme="minorBidi"/>
          <w:i w:val="0"/>
          <w:iCs w:val="0"/>
          <w:color w:val="auto"/>
          <w:lang w:val="en-GB"/>
        </w:rPr>
      </w:pPr>
      <w:r w:rsidRPr="005A42C4">
        <w:rPr>
          <w:rFonts w:ascii="Cambria" w:eastAsiaTheme="minorHAnsi" w:hAnsi="Cambria" w:cstheme="minorBidi"/>
          <w:i w:val="0"/>
          <w:iCs w:val="0"/>
          <w:color w:val="auto"/>
          <w:lang w:val="en-GB"/>
        </w:rPr>
        <w:t>Individuals or groups of individuals as consumers, and producers of goods and non-financial services exclusively for their own final consumption, and as producers of market goods and non-financial and financial services provided that their activities are not those of quasi-corporations. Non-profit institutions which serve households and which are principally engaged in the production of non-market goods and services intended for particular groups of households shall be included.</w:t>
      </w:r>
    </w:p>
    <w:p w14:paraId="1B929DC7" w14:textId="51F67E8F" w:rsidR="00D649F0" w:rsidRPr="005A42C4" w:rsidRDefault="00D649F0" w:rsidP="00D649F0">
      <w:pPr>
        <w:pStyle w:val="Heading4"/>
        <w:rPr>
          <w:rFonts w:ascii="Cambria" w:hAnsi="Cambria"/>
          <w:lang w:val="en-GB"/>
        </w:rPr>
      </w:pPr>
      <w:r w:rsidRPr="005A42C4">
        <w:rPr>
          <w:rFonts w:ascii="Cambria" w:hAnsi="Cambria"/>
          <w:lang w:val="en-GB"/>
        </w:rPr>
        <w:t>c002x - Micro &amp; SME</w:t>
      </w:r>
    </w:p>
    <w:p w14:paraId="62BB9AE8" w14:textId="7B218DA4" w:rsidR="00D649F0" w:rsidRPr="005A42C4" w:rsidRDefault="00F97E29" w:rsidP="00D649F0">
      <w:pPr>
        <w:rPr>
          <w:rFonts w:ascii="Cambria" w:hAnsi="Cambria"/>
          <w:lang w:val="en-GB"/>
        </w:rPr>
      </w:pPr>
      <w:r>
        <w:rPr>
          <w:rFonts w:ascii="Cambria" w:hAnsi="Cambria"/>
          <w:lang w:val="en-GB"/>
        </w:rPr>
        <w:t>S</w:t>
      </w:r>
      <w:r w:rsidR="00D649F0" w:rsidRPr="005A42C4">
        <w:rPr>
          <w:rFonts w:ascii="Cambria" w:hAnsi="Cambria"/>
          <w:lang w:val="en-GB"/>
        </w:rPr>
        <w:t>mall and medium-sized enterprises as defined with regard to the criteria referred to in Article 2 (1) of the Annex to Commission Recommendation 2003/361/EC</w:t>
      </w:r>
      <w:r w:rsidR="00D92EDB">
        <w:rPr>
          <w:rFonts w:ascii="Cambria" w:hAnsi="Cambria"/>
          <w:lang w:val="en-GB"/>
        </w:rPr>
        <w:t>,</w:t>
      </w:r>
      <w:r w:rsidR="00D92EDB" w:rsidRPr="00054486">
        <w:rPr>
          <w:lang w:val="en-GB"/>
        </w:rPr>
        <w:t xml:space="preserve"> </w:t>
      </w:r>
      <w:r w:rsidR="00D92EDB" w:rsidRPr="00D92EDB">
        <w:rPr>
          <w:rFonts w:ascii="Cambria" w:hAnsi="Cambria"/>
          <w:lang w:val="en-GB"/>
        </w:rPr>
        <w:t>FINREP, A</w:t>
      </w:r>
      <w:r w:rsidR="00D92EDB">
        <w:rPr>
          <w:rFonts w:ascii="Cambria" w:hAnsi="Cambria"/>
          <w:lang w:val="en-GB"/>
        </w:rPr>
        <w:t>nnex V Part 1, paragraph 5(i)</w:t>
      </w:r>
      <w:r w:rsidR="005271EE">
        <w:rPr>
          <w:rFonts w:ascii="Cambria" w:hAnsi="Cambria"/>
          <w:lang w:val="en-GB"/>
        </w:rPr>
        <w:t>.</w:t>
      </w:r>
      <w:r w:rsidRPr="005A42C4" w:rsidDel="00F97E29">
        <w:rPr>
          <w:rFonts w:ascii="Cambria" w:hAnsi="Cambria"/>
          <w:lang w:val="en-GB"/>
        </w:rPr>
        <w:t xml:space="preserve"> </w:t>
      </w:r>
      <w:r>
        <w:rPr>
          <w:rFonts w:ascii="Cambria" w:hAnsi="Cambria"/>
          <w:lang w:val="en-GB"/>
        </w:rPr>
        <w:t xml:space="preserve"> </w:t>
      </w:r>
      <w:r w:rsidRPr="00F97E29">
        <w:rPr>
          <w:rFonts w:ascii="Cambria" w:hAnsi="Cambria"/>
          <w:lang w:val="en-GB"/>
        </w:rPr>
        <w:t>Enterprises which employ fewer than 250 persons and which have an annual turnover not exceeding EUR 50 million, and/or an annual balance sheet total not exceeding EUR 43 million.</w:t>
      </w:r>
    </w:p>
    <w:p w14:paraId="52329849" w14:textId="37509811" w:rsidR="00D649F0" w:rsidRDefault="00D649F0" w:rsidP="00054486">
      <w:pPr>
        <w:rPr>
          <w:rFonts w:ascii="Cambria" w:eastAsiaTheme="majorEastAsia" w:hAnsi="Cambria" w:cstheme="majorBidi"/>
          <w:i/>
          <w:iCs/>
          <w:color w:val="2E74B5" w:themeColor="accent1" w:themeShade="BF"/>
          <w:lang w:val="en-GB"/>
        </w:rPr>
      </w:pPr>
      <w:r w:rsidRPr="00290107">
        <w:rPr>
          <w:rFonts w:ascii="Cambria" w:eastAsiaTheme="majorEastAsia" w:hAnsi="Cambria" w:cstheme="majorBidi"/>
          <w:i/>
          <w:iCs/>
          <w:color w:val="2E74B5" w:themeColor="accent1" w:themeShade="BF"/>
          <w:lang w:val="en-GB"/>
        </w:rPr>
        <w:t xml:space="preserve">c003x </w:t>
      </w:r>
      <w:r w:rsidR="008E6D33">
        <w:rPr>
          <w:rFonts w:ascii="Cambria" w:eastAsiaTheme="majorEastAsia" w:hAnsi="Cambria" w:cstheme="majorBidi"/>
          <w:i/>
          <w:iCs/>
          <w:color w:val="2E74B5" w:themeColor="accent1" w:themeShade="BF"/>
          <w:lang w:val="en-GB"/>
        </w:rPr>
        <w:t>–</w:t>
      </w:r>
      <w:r w:rsidRPr="00290107">
        <w:rPr>
          <w:rFonts w:ascii="Cambria" w:eastAsiaTheme="majorEastAsia" w:hAnsi="Cambria" w:cstheme="majorBidi"/>
          <w:i/>
          <w:iCs/>
          <w:color w:val="2E74B5" w:themeColor="accent1" w:themeShade="BF"/>
          <w:lang w:val="en-GB"/>
        </w:rPr>
        <w:t xml:space="preserve"> Corporates</w:t>
      </w:r>
    </w:p>
    <w:p w14:paraId="53CD3E5B" w14:textId="77777777" w:rsidR="008E6D33" w:rsidRPr="008E6D33" w:rsidRDefault="008E6D33" w:rsidP="008E6D33">
      <w:pPr>
        <w:rPr>
          <w:rFonts w:ascii="Cambria" w:hAnsi="Cambria"/>
          <w:lang w:val="en-GB"/>
        </w:rPr>
      </w:pPr>
      <w:r w:rsidRPr="008E6D33">
        <w:rPr>
          <w:rFonts w:ascii="Cambria" w:hAnsi="Cambria"/>
          <w:lang w:val="en-GB"/>
        </w:rPr>
        <w:t>FINREP, Annex V. Part 1.42(e)</w:t>
      </w:r>
    </w:p>
    <w:p w14:paraId="03DDFDA8" w14:textId="77777777" w:rsidR="008E6D33" w:rsidRPr="008E6D33" w:rsidRDefault="008E6D33" w:rsidP="008E6D33">
      <w:pPr>
        <w:rPr>
          <w:rFonts w:ascii="Cambria" w:hAnsi="Cambria"/>
          <w:lang w:val="en-GB"/>
        </w:rPr>
      </w:pPr>
      <w:r w:rsidRPr="008E6D33">
        <w:rPr>
          <w:rFonts w:ascii="Cambria" w:hAnsi="Cambria"/>
          <w:lang w:val="en-GB"/>
        </w:rPr>
        <w:t>Corporations and quasi-corporations not engaged in financial intermediation but principally in the production of market goods and non-financial services according to the ECB BSI Regulation.</w:t>
      </w:r>
    </w:p>
    <w:p w14:paraId="6BE6A04A" w14:textId="7658CC47" w:rsidR="008E6D33" w:rsidRPr="00290107" w:rsidRDefault="008E6D33" w:rsidP="008E6D33">
      <w:pPr>
        <w:rPr>
          <w:rFonts w:ascii="Cambria" w:hAnsi="Cambria"/>
          <w:lang w:val="en-GB"/>
        </w:rPr>
      </w:pPr>
      <w:r w:rsidRPr="008E6D33">
        <w:rPr>
          <w:rFonts w:ascii="Cambria" w:hAnsi="Cambria"/>
          <w:lang w:val="en-GB"/>
        </w:rPr>
        <w:t>Excludes 'SMEs' reported in c002x.</w:t>
      </w:r>
    </w:p>
    <w:p w14:paraId="4A0AAE4C" w14:textId="312186EB" w:rsidR="00D649F0" w:rsidRDefault="00D649F0" w:rsidP="005E6A85">
      <w:pPr>
        <w:pStyle w:val="Heading4"/>
        <w:rPr>
          <w:rFonts w:ascii="Cambria" w:hAnsi="Cambria"/>
          <w:lang w:val="en-GB"/>
        </w:rPr>
      </w:pPr>
      <w:r w:rsidRPr="005A42C4">
        <w:rPr>
          <w:rFonts w:ascii="Cambria" w:hAnsi="Cambria"/>
          <w:lang w:val="en-GB"/>
        </w:rPr>
        <w:t xml:space="preserve">c004x </w:t>
      </w:r>
      <w:r w:rsidR="0016742E">
        <w:rPr>
          <w:rFonts w:ascii="Cambria" w:hAnsi="Cambria"/>
          <w:lang w:val="en-GB"/>
        </w:rPr>
        <w:t>–</w:t>
      </w:r>
      <w:r w:rsidRPr="005A42C4">
        <w:rPr>
          <w:rFonts w:ascii="Cambria" w:hAnsi="Cambria"/>
          <w:lang w:val="en-GB"/>
        </w:rPr>
        <w:t xml:space="preserve"> Institutions</w:t>
      </w:r>
    </w:p>
    <w:p w14:paraId="51B0426F" w14:textId="77777777" w:rsidR="008E6D33" w:rsidRPr="008E6D33" w:rsidRDefault="008E6D33" w:rsidP="008E6D33">
      <w:pPr>
        <w:pStyle w:val="Heading4"/>
        <w:rPr>
          <w:rFonts w:ascii="Cambria" w:eastAsiaTheme="minorHAnsi" w:hAnsi="Cambria" w:cstheme="minorBidi"/>
          <w:i w:val="0"/>
          <w:iCs w:val="0"/>
          <w:color w:val="auto"/>
          <w:lang w:val="en-GB"/>
        </w:rPr>
      </w:pPr>
      <w:r w:rsidRPr="008E6D33">
        <w:rPr>
          <w:rFonts w:ascii="Cambria" w:eastAsiaTheme="minorHAnsi" w:hAnsi="Cambria" w:cstheme="minorBidi"/>
          <w:i w:val="0"/>
          <w:iCs w:val="0"/>
          <w:color w:val="auto"/>
          <w:lang w:val="en-GB"/>
        </w:rPr>
        <w:t>FINREP, Annex V. Part 1.42(c)</w:t>
      </w:r>
    </w:p>
    <w:p w14:paraId="71F17BA1" w14:textId="77777777" w:rsidR="008E6D33" w:rsidRPr="008E6D33" w:rsidRDefault="008E6D33" w:rsidP="008E6D33">
      <w:pPr>
        <w:pStyle w:val="Heading4"/>
        <w:rPr>
          <w:rFonts w:ascii="Cambria" w:eastAsiaTheme="minorHAnsi" w:hAnsi="Cambria" w:cstheme="minorBidi"/>
          <w:i w:val="0"/>
          <w:iCs w:val="0"/>
          <w:color w:val="auto"/>
          <w:lang w:val="en-GB"/>
        </w:rPr>
      </w:pPr>
      <w:r w:rsidRPr="008E6D33">
        <w:rPr>
          <w:rFonts w:ascii="Cambria" w:eastAsiaTheme="minorHAnsi" w:hAnsi="Cambria" w:cstheme="minorBidi"/>
          <w:i w:val="0"/>
          <w:iCs w:val="0"/>
          <w:color w:val="auto"/>
          <w:lang w:val="en-GB"/>
        </w:rPr>
        <w:t>Institutions here refers to Credit institutions within the meaning of Article 4 (1) point (1) of Regulation (EU) No 575/2013 and multilateral development banks.</w:t>
      </w:r>
    </w:p>
    <w:p w14:paraId="709CB43B" w14:textId="77777777" w:rsidR="008E6D33" w:rsidRDefault="008E6D33" w:rsidP="008E6D33">
      <w:pPr>
        <w:pStyle w:val="Heading4"/>
        <w:rPr>
          <w:rFonts w:ascii="Cambria" w:eastAsiaTheme="minorHAnsi" w:hAnsi="Cambria" w:cstheme="minorBidi"/>
          <w:i w:val="0"/>
          <w:iCs w:val="0"/>
          <w:color w:val="auto"/>
          <w:lang w:val="en-GB"/>
        </w:rPr>
      </w:pPr>
      <w:r w:rsidRPr="008E6D33">
        <w:rPr>
          <w:rFonts w:ascii="Cambria" w:eastAsiaTheme="minorHAnsi" w:hAnsi="Cambria" w:cstheme="minorBidi"/>
          <w:i w:val="0"/>
          <w:iCs w:val="0"/>
          <w:color w:val="auto"/>
          <w:lang w:val="en-GB"/>
        </w:rPr>
        <w:t>As defined in Article 2 (23) of the BRRD, including intragroup institutions.</w:t>
      </w:r>
    </w:p>
    <w:p w14:paraId="6179E3F7" w14:textId="46B032E1" w:rsidR="00D649F0" w:rsidRPr="005A42C4" w:rsidRDefault="00D649F0" w:rsidP="008E6D33">
      <w:pPr>
        <w:pStyle w:val="Heading4"/>
        <w:rPr>
          <w:rFonts w:ascii="Cambria" w:hAnsi="Cambria"/>
          <w:lang w:val="en-GB"/>
        </w:rPr>
      </w:pPr>
      <w:r w:rsidRPr="005A42C4">
        <w:rPr>
          <w:rFonts w:ascii="Cambria" w:hAnsi="Cambria"/>
          <w:lang w:val="en-GB"/>
        </w:rPr>
        <w:t>c005x - Other financial corporation</w:t>
      </w:r>
    </w:p>
    <w:p w14:paraId="1C2B764A" w14:textId="77777777" w:rsidR="00D649F0" w:rsidRPr="005A42C4" w:rsidRDefault="00D649F0" w:rsidP="00D649F0">
      <w:pPr>
        <w:rPr>
          <w:rFonts w:ascii="Cambria" w:hAnsi="Cambria"/>
          <w:lang w:val="en-GB"/>
        </w:rPr>
      </w:pPr>
      <w:r w:rsidRPr="005A42C4">
        <w:rPr>
          <w:rFonts w:ascii="Cambria" w:hAnsi="Cambria"/>
          <w:lang w:val="en-GB"/>
        </w:rPr>
        <w:t>Counterparties as defined in FINREP, Annex V. Part 1.42(d).</w:t>
      </w:r>
    </w:p>
    <w:p w14:paraId="4A65BC84" w14:textId="77777777" w:rsidR="00D649F0" w:rsidRPr="005A42C4" w:rsidRDefault="00D649F0" w:rsidP="00D649F0">
      <w:pPr>
        <w:rPr>
          <w:rFonts w:ascii="Cambria" w:hAnsi="Cambria"/>
          <w:lang w:val="en-GB"/>
        </w:rPr>
      </w:pPr>
      <w:r w:rsidRPr="005A42C4">
        <w:rPr>
          <w:rFonts w:ascii="Cambria" w:hAnsi="Cambria"/>
          <w:lang w:val="en-GB"/>
        </w:rPr>
        <w:lastRenderedPageBreak/>
        <w:t>All financial corporations and quasi-corporations other than credit institutions such as investment firms, investment funds, insurance companies, pension funds, collective investment undertakings, and clearing houses as well as remaining financial intermediaries,  financial auxiliaries and captive financial institutions and money lenders.</w:t>
      </w:r>
    </w:p>
    <w:p w14:paraId="3BFDE04E" w14:textId="624A234E" w:rsidR="00D649F0" w:rsidRPr="005A42C4" w:rsidRDefault="00D649F0" w:rsidP="00D649F0">
      <w:pPr>
        <w:pStyle w:val="Heading4"/>
        <w:rPr>
          <w:rFonts w:ascii="Cambria" w:hAnsi="Cambria"/>
          <w:lang w:val="en-GB"/>
        </w:rPr>
      </w:pPr>
      <w:r w:rsidRPr="005A42C4">
        <w:rPr>
          <w:rFonts w:ascii="Cambria" w:hAnsi="Cambria"/>
          <w:lang w:val="en-GB"/>
        </w:rPr>
        <w:t xml:space="preserve">c006x - Of which Insurance firms &amp; pension funds </w:t>
      </w:r>
    </w:p>
    <w:p w14:paraId="1592EDB3" w14:textId="575BE104" w:rsidR="00D649F0" w:rsidRPr="00706844" w:rsidRDefault="00D649F0" w:rsidP="00D649F0">
      <w:pPr>
        <w:rPr>
          <w:rFonts w:ascii="Cambria" w:hAnsi="Cambria"/>
          <w:lang w:val="en-GB"/>
        </w:rPr>
      </w:pPr>
      <w:r w:rsidRPr="005A42C4">
        <w:rPr>
          <w:rFonts w:ascii="Cambria" w:hAnsi="Cambria"/>
          <w:lang w:val="en-GB"/>
        </w:rPr>
        <w:t>Insurance undertakings, reinsurance undertakings firms</w:t>
      </w:r>
      <w:r w:rsidR="007A2278" w:rsidRPr="00706844">
        <w:rPr>
          <w:rFonts w:ascii="Cambria" w:hAnsi="Cambria"/>
          <w:lang w:val="en-GB"/>
        </w:rPr>
        <w:t xml:space="preserve"> </w:t>
      </w:r>
      <w:r w:rsidR="007A2278">
        <w:rPr>
          <w:rFonts w:ascii="Cambria" w:hAnsi="Cambria"/>
          <w:lang w:val="en-GB"/>
        </w:rPr>
        <w:t>(</w:t>
      </w:r>
      <w:r w:rsidR="007A2278" w:rsidRPr="007A2278">
        <w:rPr>
          <w:rFonts w:ascii="Cambria" w:hAnsi="Cambria"/>
          <w:lang w:val="en-GB"/>
        </w:rPr>
        <w:t>as referred to in Article 13(1) to (6) of Directive 2009/138/EC of the European Parliament and of the Council)</w:t>
      </w:r>
      <w:r w:rsidRPr="005A42C4">
        <w:rPr>
          <w:rFonts w:ascii="Cambria" w:hAnsi="Cambria"/>
          <w:lang w:val="en-GB"/>
        </w:rPr>
        <w:t xml:space="preserve"> and pension and retirement funds.</w:t>
      </w:r>
      <w:r w:rsidR="008A2774">
        <w:rPr>
          <w:rFonts w:ascii="Cambria" w:hAnsi="Cambria"/>
          <w:lang w:val="en-GB"/>
        </w:rPr>
        <w:t xml:space="preserve"> </w:t>
      </w:r>
    </w:p>
    <w:p w14:paraId="3880BB9D" w14:textId="77777777" w:rsidR="008A2774" w:rsidRPr="005A42C4" w:rsidRDefault="008A2774" w:rsidP="00D649F0">
      <w:pPr>
        <w:rPr>
          <w:rFonts w:ascii="Cambria" w:hAnsi="Cambria"/>
          <w:lang w:val="en-GB"/>
        </w:rPr>
      </w:pPr>
    </w:p>
    <w:p w14:paraId="40B5ABF1" w14:textId="77777777" w:rsidR="00D649F0" w:rsidRPr="005A42C4" w:rsidRDefault="00D649F0" w:rsidP="00D649F0">
      <w:pPr>
        <w:pStyle w:val="Heading4"/>
        <w:rPr>
          <w:rFonts w:ascii="Cambria" w:hAnsi="Cambria"/>
          <w:lang w:val="en-GB"/>
        </w:rPr>
      </w:pPr>
      <w:r w:rsidRPr="005A42C4">
        <w:rPr>
          <w:rFonts w:ascii="Cambria" w:hAnsi="Cambria"/>
          <w:lang w:val="en-GB"/>
        </w:rPr>
        <w:t>c008x - Government, central banks &amp; supranationals</w:t>
      </w:r>
    </w:p>
    <w:p w14:paraId="14921412" w14:textId="4A53F398" w:rsidR="00D649F0" w:rsidRPr="005A42C4" w:rsidRDefault="00D649F0" w:rsidP="00D649F0">
      <w:pPr>
        <w:rPr>
          <w:rFonts w:ascii="Cambria" w:hAnsi="Cambria"/>
          <w:lang w:val="en-GB"/>
        </w:rPr>
      </w:pPr>
      <w:r w:rsidRPr="005A42C4">
        <w:rPr>
          <w:rFonts w:ascii="Cambria" w:hAnsi="Cambria"/>
          <w:lang w:val="en-GB"/>
        </w:rPr>
        <w:t>For supranational counterparties, we can refer to article  118 of the CRR.</w:t>
      </w:r>
    </w:p>
    <w:p w14:paraId="4318B002" w14:textId="77777777" w:rsidR="00D649F0" w:rsidRPr="005A42C4" w:rsidRDefault="00D649F0" w:rsidP="00D649F0">
      <w:pPr>
        <w:rPr>
          <w:rFonts w:ascii="Cambria" w:hAnsi="Cambria"/>
          <w:lang w:val="en-GB"/>
        </w:rPr>
      </w:pPr>
      <w:r w:rsidRPr="005A42C4">
        <w:rPr>
          <w:rFonts w:ascii="Cambria" w:hAnsi="Cambria"/>
          <w:lang w:val="en-GB"/>
        </w:rPr>
        <w:t>In practice, this refers to Central banks and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“credit institutions”, “other financial corporations” or “non-financial corporations” depending on their activity); social security funds; and international organisations, such as the European Union, the International Monetary Fund and the Bank for International Settlements.</w:t>
      </w:r>
    </w:p>
    <w:p w14:paraId="252522C8" w14:textId="77777777" w:rsidR="00D649F0" w:rsidRPr="005A42C4" w:rsidRDefault="00D649F0" w:rsidP="00D649F0">
      <w:pPr>
        <w:pStyle w:val="Heading4"/>
        <w:rPr>
          <w:rFonts w:ascii="Cambria" w:hAnsi="Cambria"/>
          <w:lang w:val="en-GB"/>
        </w:rPr>
      </w:pPr>
      <w:r w:rsidRPr="005A42C4">
        <w:rPr>
          <w:rFonts w:ascii="Cambria" w:hAnsi="Cambria"/>
          <w:lang w:val="en-GB"/>
        </w:rPr>
        <w:t>c009x - Non identified, listed on an exchange platform</w:t>
      </w:r>
    </w:p>
    <w:p w14:paraId="1CB41545" w14:textId="11B4E464" w:rsidR="00D649F0" w:rsidRPr="005A42C4" w:rsidRDefault="00D649F0" w:rsidP="00D649F0">
      <w:pPr>
        <w:rPr>
          <w:rFonts w:ascii="Cambria" w:hAnsi="Cambria"/>
          <w:lang w:val="en-GB"/>
        </w:rPr>
      </w:pPr>
      <w:r w:rsidRPr="005A42C4">
        <w:rPr>
          <w:rFonts w:ascii="Cambria" w:hAnsi="Cambria"/>
          <w:lang w:val="en-GB"/>
        </w:rPr>
        <w:t>Where the identity of the holder of a security is not known due to the instruments being listed on an exchange platform</w:t>
      </w:r>
      <w:r w:rsidRPr="005A42C4">
        <w:rPr>
          <w:rStyle w:val="FootnoteReference"/>
          <w:rFonts w:ascii="Cambria" w:hAnsi="Cambria"/>
          <w:lang w:val="en-GB"/>
        </w:rPr>
        <w:footnoteReference w:id="9"/>
      </w:r>
      <w:r w:rsidRPr="005A42C4">
        <w:rPr>
          <w:rFonts w:ascii="Cambria" w:hAnsi="Cambria"/>
          <w:lang w:val="en-GB"/>
        </w:rPr>
        <w:t>, the amounts should be attributed to this column.</w:t>
      </w:r>
    </w:p>
    <w:p w14:paraId="43A0BDE6" w14:textId="77777777" w:rsidR="00D649F0" w:rsidRPr="005A42C4" w:rsidRDefault="00D649F0" w:rsidP="00D649F0">
      <w:pPr>
        <w:pStyle w:val="Heading4"/>
        <w:rPr>
          <w:rFonts w:ascii="Cambria" w:hAnsi="Cambria"/>
          <w:lang w:val="en-GB"/>
        </w:rPr>
      </w:pPr>
      <w:r w:rsidRPr="005A42C4">
        <w:rPr>
          <w:rFonts w:ascii="Cambria" w:hAnsi="Cambria"/>
          <w:lang w:val="en-GB"/>
        </w:rPr>
        <w:t>c010x - Non-identified, not listed on an exchange platform</w:t>
      </w:r>
    </w:p>
    <w:p w14:paraId="4AB93339" w14:textId="63AA7F75" w:rsidR="00D649F0" w:rsidRPr="005A42C4" w:rsidRDefault="00D649F0" w:rsidP="005A42C4">
      <w:pPr>
        <w:rPr>
          <w:rFonts w:ascii="Cambria" w:hAnsi="Cambria"/>
          <w:lang w:val="en-GB"/>
        </w:rPr>
      </w:pPr>
      <w:r w:rsidRPr="005A42C4">
        <w:rPr>
          <w:rFonts w:ascii="Cambria" w:hAnsi="Cambria"/>
          <w:lang w:val="en-GB"/>
        </w:rPr>
        <w:t>Where the identity of the holder of a security - is not known, excluding liabilities traded on an exchange, the amounts should be attributed to this column and no further counterparty breakdown is required. That said, entities should dedicate their best efforts to identify counterparties and limit the use of this column to a minimum.</w:t>
      </w:r>
    </w:p>
    <w:p w14:paraId="3DEEEEFE" w14:textId="77777777" w:rsidR="00D649F0" w:rsidRPr="005A42C4" w:rsidRDefault="00D649F0" w:rsidP="00D649F0">
      <w:pPr>
        <w:pStyle w:val="Heading4"/>
        <w:rPr>
          <w:rFonts w:ascii="Cambria" w:hAnsi="Cambria"/>
          <w:lang w:val="en-GB"/>
        </w:rPr>
      </w:pPr>
      <w:r w:rsidRPr="005A42C4">
        <w:rPr>
          <w:rFonts w:ascii="Cambria" w:hAnsi="Cambria"/>
          <w:lang w:val="en-GB"/>
        </w:rPr>
        <w:t>c012x - Total</w:t>
      </w:r>
    </w:p>
    <w:p w14:paraId="12536596" w14:textId="07B26D84" w:rsidR="00D649F0" w:rsidRPr="005A42C4" w:rsidRDefault="00D649F0" w:rsidP="00D649F0">
      <w:pPr>
        <w:pStyle w:val="Heading4"/>
        <w:rPr>
          <w:rFonts w:ascii="Cambria" w:hAnsi="Cambria"/>
          <w:lang w:val="en-GB"/>
        </w:rPr>
      </w:pPr>
      <w:r w:rsidRPr="005A42C4">
        <w:rPr>
          <w:rFonts w:ascii="Cambria" w:hAnsi="Cambria"/>
          <w:lang w:val="en-GB"/>
        </w:rPr>
        <w:t>c0</w:t>
      </w:r>
      <w:r w:rsidR="00690B61">
        <w:rPr>
          <w:rFonts w:ascii="Cambria" w:hAnsi="Cambria"/>
          <w:lang w:val="en-GB"/>
        </w:rPr>
        <w:t>13</w:t>
      </w:r>
      <w:r w:rsidRPr="005A42C4">
        <w:rPr>
          <w:rFonts w:ascii="Cambria" w:hAnsi="Cambria"/>
          <w:lang w:val="en-GB"/>
        </w:rPr>
        <w:t>x –Of which Intragroup</w:t>
      </w:r>
    </w:p>
    <w:p w14:paraId="246CE0C5" w14:textId="76B01184" w:rsidR="00D649F0" w:rsidRPr="005A42C4" w:rsidRDefault="00D649F0" w:rsidP="00D649F0">
      <w:pPr>
        <w:rPr>
          <w:rFonts w:ascii="Cambria" w:hAnsi="Cambria"/>
          <w:lang w:val="en-GB"/>
        </w:rPr>
      </w:pPr>
      <w:r w:rsidRPr="005A42C4">
        <w:rPr>
          <w:rFonts w:ascii="Cambria" w:hAnsi="Cambria"/>
          <w:lang w:val="en-GB"/>
        </w:rPr>
        <w:t xml:space="preserve">Liabilities from entities within the accounting scope of consolidation of the ultimate parent entity. As opposed to the reporting scope, this includes all entities that are not covered by prudential consolidation, but are however covered by the accounting scope of consolidation of the ultimate parent entity as identified in the guidance for r0040 of </w:t>
      </w:r>
      <w:r w:rsidR="00A52EDD" w:rsidRPr="005A42C4">
        <w:rPr>
          <w:rFonts w:ascii="Cambria" w:hAnsi="Cambria"/>
          <w:lang w:val="en-GB"/>
        </w:rPr>
        <w:t>T99.00</w:t>
      </w:r>
      <w:r w:rsidRPr="005A42C4">
        <w:rPr>
          <w:rFonts w:ascii="Cambria" w:hAnsi="Cambria"/>
          <w:lang w:val="en-GB"/>
        </w:rPr>
        <w:t xml:space="preserve">. Thus, the highest level of consolidation would not </w:t>
      </w:r>
      <w:r w:rsidRPr="005A42C4">
        <w:rPr>
          <w:rFonts w:ascii="Cambria" w:hAnsi="Cambria"/>
          <w:i/>
          <w:lang w:val="en-GB"/>
        </w:rPr>
        <w:t>de facto</w:t>
      </w:r>
      <w:r w:rsidRPr="005A42C4">
        <w:rPr>
          <w:rFonts w:ascii="Cambria" w:hAnsi="Cambria"/>
          <w:lang w:val="en-GB"/>
        </w:rPr>
        <w:t xml:space="preserve"> be empty but would contain any liabilities to entities within the accounting scope of consolidation, which are not within the prudential scope of consolidation.</w:t>
      </w:r>
    </w:p>
    <w:p w14:paraId="7FF79EA8" w14:textId="77777777" w:rsidR="00D649F0" w:rsidRPr="005A42C4" w:rsidRDefault="00D649F0" w:rsidP="00D649F0">
      <w:pPr>
        <w:rPr>
          <w:rFonts w:ascii="Cambria" w:hAnsi="Cambria"/>
          <w:lang w:val="en-GB"/>
        </w:rPr>
      </w:pPr>
    </w:p>
    <w:p w14:paraId="598EA2F8" w14:textId="41472710" w:rsidR="00D649F0" w:rsidRPr="005A42C4" w:rsidRDefault="00690B61" w:rsidP="00D649F0">
      <w:pPr>
        <w:pStyle w:val="Heading4"/>
        <w:rPr>
          <w:rFonts w:ascii="Cambria" w:hAnsi="Cambria"/>
          <w:lang w:val="en-GB"/>
        </w:rPr>
      </w:pPr>
      <w:r>
        <w:rPr>
          <w:rFonts w:ascii="Cambria" w:hAnsi="Cambria"/>
          <w:lang w:val="en-GB"/>
        </w:rPr>
        <w:t>c014</w:t>
      </w:r>
      <w:r w:rsidR="00D649F0" w:rsidRPr="005A42C4">
        <w:rPr>
          <w:rFonts w:ascii="Cambria" w:hAnsi="Cambria"/>
          <w:lang w:val="en-GB"/>
        </w:rPr>
        <w:t>x – Of which Issuances under non-EU MS jurisdiction/law, excluding intragroup</w:t>
      </w:r>
    </w:p>
    <w:p w14:paraId="500EDB62" w14:textId="626AB831" w:rsidR="00D649F0" w:rsidRPr="005A42C4" w:rsidRDefault="00D649F0" w:rsidP="00D649F0">
      <w:pPr>
        <w:rPr>
          <w:rFonts w:ascii="Cambria" w:hAnsi="Cambria"/>
          <w:lang w:val="en-GB"/>
        </w:rPr>
      </w:pPr>
      <w:r w:rsidRPr="005A42C4">
        <w:rPr>
          <w:rFonts w:ascii="Cambria" w:hAnsi="Cambria"/>
          <w:lang w:val="en-GB"/>
        </w:rPr>
        <w:t>These shall include the gross amounts of liabilities governed by the law of a third-country and/or issued by group entities established in third-countries. Intragroup liabilities shall be excluded.</w:t>
      </w:r>
      <w:r w:rsidR="00C72C8E">
        <w:rPr>
          <w:rFonts w:ascii="Cambria" w:hAnsi="Cambria"/>
          <w:lang w:val="en-GB"/>
        </w:rPr>
        <w:t xml:space="preserve"> Note that w</w:t>
      </w:r>
      <w:r w:rsidR="00C72C8E" w:rsidRPr="00C72C8E">
        <w:rPr>
          <w:rFonts w:ascii="Cambria" w:hAnsi="Cambria"/>
          <w:lang w:val="en-GB"/>
        </w:rPr>
        <w:t>here the resolution authority has confirmed that it is satisfied, pursuant to Article 45 (5) of Directive 2014/59/EU of the European Parliament and of the Council11, that any decision of a resolution authority to write down or convert a liability would be effective under the law of that third country, that liability shall not be reported under this heading.</w:t>
      </w:r>
    </w:p>
    <w:p w14:paraId="47F757B3" w14:textId="77777777" w:rsidR="00D649F0" w:rsidRPr="005A42C4" w:rsidRDefault="00D649F0" w:rsidP="009474F1">
      <w:pPr>
        <w:pStyle w:val="Heading4"/>
        <w:rPr>
          <w:rFonts w:ascii="Cambria" w:hAnsi="Cambria"/>
          <w:u w:val="single"/>
          <w:lang w:val="en-GB"/>
        </w:rPr>
      </w:pPr>
    </w:p>
    <w:p w14:paraId="4016EA42" w14:textId="77777777" w:rsidR="004F2346" w:rsidRPr="005A42C4" w:rsidRDefault="004F2346" w:rsidP="009474F1">
      <w:pPr>
        <w:pStyle w:val="Heading4"/>
        <w:rPr>
          <w:rFonts w:ascii="Cambria" w:hAnsi="Cambria"/>
          <w:u w:val="single"/>
          <w:lang w:val="en-GB"/>
        </w:rPr>
      </w:pPr>
      <w:r w:rsidRPr="005A42C4">
        <w:rPr>
          <w:rFonts w:ascii="Cambria" w:hAnsi="Cambria"/>
          <w:u w:val="single"/>
          <w:lang w:val="en-GB"/>
        </w:rPr>
        <w:t>Lines</w:t>
      </w:r>
    </w:p>
    <w:p w14:paraId="4A25A9F0" w14:textId="5AC321F5" w:rsidR="00E20340" w:rsidRPr="005A42C4" w:rsidRDefault="00DA3A5D" w:rsidP="009474F1">
      <w:pPr>
        <w:pStyle w:val="Heading4"/>
        <w:rPr>
          <w:rFonts w:ascii="Cambria" w:hAnsi="Cambria"/>
          <w:lang w:val="en-GB"/>
        </w:rPr>
      </w:pPr>
      <w:r w:rsidRPr="005A42C4">
        <w:rPr>
          <w:rFonts w:ascii="Cambria" w:hAnsi="Cambria"/>
          <w:lang w:val="en-GB"/>
        </w:rPr>
        <w:t>r01</w:t>
      </w:r>
      <w:r w:rsidR="00E20340" w:rsidRPr="005A42C4">
        <w:rPr>
          <w:rFonts w:ascii="Cambria" w:hAnsi="Cambria"/>
          <w:lang w:val="en-GB"/>
        </w:rPr>
        <w:t xml:space="preserve">00 - </w:t>
      </w:r>
      <w:r w:rsidR="00E20340" w:rsidRPr="005A42C4">
        <w:rPr>
          <w:rFonts w:ascii="Cambria" w:hAnsi="Cambria"/>
          <w:caps/>
          <w:lang w:val="en-GB"/>
        </w:rPr>
        <w:t>Liabilities excluded from bail-in</w:t>
      </w:r>
    </w:p>
    <w:p w14:paraId="21F52C5D" w14:textId="437C5AFF" w:rsidR="009E5B64" w:rsidRPr="005A42C4" w:rsidRDefault="00E20340" w:rsidP="009474F1">
      <w:pPr>
        <w:rPr>
          <w:rFonts w:ascii="Cambria" w:hAnsi="Cambria"/>
          <w:lang w:val="en-GB"/>
        </w:rPr>
      </w:pPr>
      <w:r w:rsidRPr="005A42C4">
        <w:rPr>
          <w:rFonts w:ascii="Cambria" w:hAnsi="Cambria"/>
          <w:lang w:val="en-GB"/>
        </w:rPr>
        <w:t>Article 44 (2) of the BRRD states that "Resolution authorities shall not exercise the write down or conversion powers in relation to the following liabilities whether they are governed by the law of a Member State or of a third country</w:t>
      </w:r>
      <w:r w:rsidR="0031698B" w:rsidRPr="005A42C4">
        <w:rPr>
          <w:rFonts w:ascii="Cambria" w:hAnsi="Cambria"/>
          <w:lang w:val="en-GB"/>
        </w:rPr>
        <w:t>”</w:t>
      </w:r>
      <w:r w:rsidR="0041331E" w:rsidRPr="005A42C4">
        <w:rPr>
          <w:rFonts w:ascii="Cambria" w:hAnsi="Cambria"/>
          <w:lang w:val="en-GB"/>
        </w:rPr>
        <w:t>.</w:t>
      </w:r>
      <w:r w:rsidR="009E5B64" w:rsidRPr="005A42C4">
        <w:rPr>
          <w:rFonts w:ascii="Cambria" w:hAnsi="Cambria"/>
          <w:lang w:val="en-GB"/>
        </w:rPr>
        <w:t xml:space="preserve"> This aggregated line is equal to the sum of lines </w:t>
      </w:r>
      <w:r w:rsidR="00DA3A5D" w:rsidRPr="005A42C4">
        <w:rPr>
          <w:rFonts w:ascii="Cambria" w:hAnsi="Cambria"/>
          <w:lang w:val="en-GB"/>
        </w:rPr>
        <w:t>r01</w:t>
      </w:r>
      <w:r w:rsidR="009E5B64" w:rsidRPr="005A42C4">
        <w:rPr>
          <w:rFonts w:ascii="Cambria" w:hAnsi="Cambria"/>
          <w:lang w:val="en-GB"/>
        </w:rPr>
        <w:t xml:space="preserve">10, </w:t>
      </w:r>
      <w:r w:rsidR="00DA3A5D" w:rsidRPr="005A42C4">
        <w:rPr>
          <w:rFonts w:ascii="Cambria" w:hAnsi="Cambria"/>
          <w:lang w:val="en-GB"/>
        </w:rPr>
        <w:t>r01</w:t>
      </w:r>
      <w:r w:rsidR="009E5B64" w:rsidRPr="005A42C4">
        <w:rPr>
          <w:rFonts w:ascii="Cambria" w:hAnsi="Cambria"/>
          <w:lang w:val="en-GB"/>
        </w:rPr>
        <w:t xml:space="preserve">20, </w:t>
      </w:r>
      <w:r w:rsidR="00DA3A5D" w:rsidRPr="005A42C4">
        <w:rPr>
          <w:rFonts w:ascii="Cambria" w:hAnsi="Cambria"/>
          <w:lang w:val="en-GB"/>
        </w:rPr>
        <w:t>r01</w:t>
      </w:r>
      <w:r w:rsidR="009E5B64" w:rsidRPr="005A42C4">
        <w:rPr>
          <w:rFonts w:ascii="Cambria" w:hAnsi="Cambria"/>
          <w:lang w:val="en-GB"/>
        </w:rPr>
        <w:t xml:space="preserve">30, </w:t>
      </w:r>
      <w:r w:rsidR="00DA3A5D" w:rsidRPr="005A42C4">
        <w:rPr>
          <w:rFonts w:ascii="Cambria" w:hAnsi="Cambria"/>
          <w:lang w:val="en-GB"/>
        </w:rPr>
        <w:t>r01</w:t>
      </w:r>
      <w:r w:rsidR="009E5B64" w:rsidRPr="005A42C4">
        <w:rPr>
          <w:rFonts w:ascii="Cambria" w:hAnsi="Cambria"/>
          <w:lang w:val="en-GB"/>
        </w:rPr>
        <w:t xml:space="preserve">40, </w:t>
      </w:r>
      <w:r w:rsidR="00DA3A5D" w:rsidRPr="005A42C4">
        <w:rPr>
          <w:rFonts w:ascii="Cambria" w:hAnsi="Cambria"/>
          <w:lang w:val="en-GB"/>
        </w:rPr>
        <w:t>r01</w:t>
      </w:r>
      <w:r w:rsidR="009E5B64" w:rsidRPr="005A42C4">
        <w:rPr>
          <w:rFonts w:ascii="Cambria" w:hAnsi="Cambria"/>
          <w:lang w:val="en-GB"/>
        </w:rPr>
        <w:t xml:space="preserve">50, </w:t>
      </w:r>
      <w:r w:rsidR="00DA3A5D" w:rsidRPr="005A42C4">
        <w:rPr>
          <w:rFonts w:ascii="Cambria" w:hAnsi="Cambria"/>
          <w:lang w:val="en-GB"/>
        </w:rPr>
        <w:t>r01</w:t>
      </w:r>
      <w:r w:rsidR="009E5B64" w:rsidRPr="005A42C4">
        <w:rPr>
          <w:rFonts w:ascii="Cambria" w:hAnsi="Cambria"/>
          <w:lang w:val="en-GB"/>
        </w:rPr>
        <w:t xml:space="preserve">60, </w:t>
      </w:r>
      <w:r w:rsidR="00DA3A5D" w:rsidRPr="005A42C4">
        <w:rPr>
          <w:rFonts w:ascii="Cambria" w:hAnsi="Cambria"/>
          <w:lang w:val="en-GB"/>
        </w:rPr>
        <w:t>r01</w:t>
      </w:r>
      <w:r w:rsidR="009E5B64" w:rsidRPr="005A42C4">
        <w:rPr>
          <w:rFonts w:ascii="Cambria" w:hAnsi="Cambria"/>
          <w:lang w:val="en-GB"/>
        </w:rPr>
        <w:t xml:space="preserve">70, </w:t>
      </w:r>
      <w:r w:rsidR="00DA3A5D" w:rsidRPr="005A42C4">
        <w:rPr>
          <w:rFonts w:ascii="Cambria" w:hAnsi="Cambria"/>
          <w:lang w:val="en-GB"/>
        </w:rPr>
        <w:t>r01</w:t>
      </w:r>
      <w:r w:rsidR="009E5B64" w:rsidRPr="005A42C4">
        <w:rPr>
          <w:rFonts w:ascii="Cambria" w:hAnsi="Cambria"/>
          <w:lang w:val="en-GB"/>
        </w:rPr>
        <w:t xml:space="preserve">80, </w:t>
      </w:r>
      <w:r w:rsidR="00DA3A5D" w:rsidRPr="005A42C4">
        <w:rPr>
          <w:rFonts w:ascii="Cambria" w:hAnsi="Cambria"/>
          <w:lang w:val="en-GB"/>
        </w:rPr>
        <w:t>r01</w:t>
      </w:r>
      <w:r w:rsidR="009E5B64" w:rsidRPr="005A42C4">
        <w:rPr>
          <w:rFonts w:ascii="Cambria" w:hAnsi="Cambria"/>
          <w:lang w:val="en-GB"/>
        </w:rPr>
        <w:t xml:space="preserve">90 and </w:t>
      </w:r>
      <w:r w:rsidR="00DA3A5D" w:rsidRPr="005A42C4">
        <w:rPr>
          <w:rFonts w:ascii="Cambria" w:hAnsi="Cambria"/>
          <w:lang w:val="en-GB"/>
        </w:rPr>
        <w:t>r02</w:t>
      </w:r>
      <w:r w:rsidR="009E5B64" w:rsidRPr="005A42C4">
        <w:rPr>
          <w:rFonts w:ascii="Cambria" w:hAnsi="Cambria"/>
          <w:lang w:val="en-GB"/>
        </w:rPr>
        <w:t>00.</w:t>
      </w:r>
    </w:p>
    <w:p w14:paraId="55B3ACE6" w14:textId="0387E3D5" w:rsidR="00E20340" w:rsidRPr="005A42C4" w:rsidRDefault="00DA3A5D" w:rsidP="009474F1">
      <w:pPr>
        <w:pStyle w:val="Heading4"/>
        <w:rPr>
          <w:rFonts w:ascii="Cambria" w:hAnsi="Cambria"/>
          <w:lang w:val="en-GB"/>
        </w:rPr>
      </w:pPr>
      <w:r w:rsidRPr="005A42C4">
        <w:rPr>
          <w:rFonts w:ascii="Cambria" w:hAnsi="Cambria"/>
          <w:lang w:val="en-GB"/>
        </w:rPr>
        <w:t>r01</w:t>
      </w:r>
      <w:r w:rsidR="007D50F0" w:rsidRPr="005A42C4">
        <w:rPr>
          <w:rFonts w:ascii="Cambria" w:hAnsi="Cambria"/>
          <w:lang w:val="en-GB"/>
        </w:rPr>
        <w:t>10</w:t>
      </w:r>
      <w:r w:rsidR="00E20340" w:rsidRPr="005A42C4">
        <w:rPr>
          <w:rFonts w:ascii="Cambria" w:hAnsi="Cambria"/>
          <w:lang w:val="en-GB"/>
        </w:rPr>
        <w:t xml:space="preserve"> - Covered deposits</w:t>
      </w:r>
      <w:r w:rsidR="00045639" w:rsidRPr="005A42C4">
        <w:rPr>
          <w:rFonts w:ascii="Cambria" w:hAnsi="Cambria"/>
          <w:lang w:val="en-GB"/>
        </w:rPr>
        <w:t xml:space="preserve"> </w:t>
      </w:r>
      <w:r w:rsidR="00E20340" w:rsidRPr="005A42C4">
        <w:rPr>
          <w:rFonts w:ascii="Cambria" w:hAnsi="Cambria"/>
          <w:lang w:val="en-GB"/>
        </w:rPr>
        <w:t>(BRRD art. 44/2/a)</w:t>
      </w:r>
    </w:p>
    <w:p w14:paraId="68FCC779" w14:textId="4F530E92" w:rsidR="00E20340" w:rsidRPr="005A42C4" w:rsidRDefault="00E20340" w:rsidP="009474F1">
      <w:pPr>
        <w:rPr>
          <w:rFonts w:ascii="Cambria" w:hAnsi="Cambria"/>
          <w:lang w:val="en-GB"/>
        </w:rPr>
      </w:pPr>
      <w:r w:rsidRPr="005A42C4">
        <w:rPr>
          <w:rFonts w:ascii="Cambria" w:hAnsi="Cambria"/>
          <w:lang w:val="en-GB"/>
        </w:rPr>
        <w:t xml:space="preserve">Covered deposits, which are defined in point (5) of Article 2 (1) of </w:t>
      </w:r>
      <w:r w:rsidR="00DD484B" w:rsidRPr="00DD484B">
        <w:rPr>
          <w:rFonts w:ascii="Cambria" w:hAnsi="Cambria"/>
          <w:lang w:val="en-GB"/>
        </w:rPr>
        <w:t xml:space="preserve"> Directive 2014/49/EU of the European Parliament and of the Council (11), with the exclusion of temporary high balances as defined in Article 6(2) of that Directive.</w:t>
      </w:r>
      <w:r w:rsidR="00F975D6">
        <w:rPr>
          <w:rFonts w:ascii="Cambria" w:hAnsi="Cambria"/>
          <w:lang w:val="en-GB"/>
        </w:rPr>
        <w:t xml:space="preserve"> </w:t>
      </w:r>
      <w:r w:rsidRPr="005A42C4">
        <w:rPr>
          <w:rFonts w:ascii="Cambria" w:hAnsi="Cambria"/>
          <w:lang w:val="en-GB"/>
        </w:rPr>
        <w:t>. This shall not prevent resolution authorities, where appropriate, from exercising those powers in relation to any amount of a deposit that exceeds the coverage level provided for in Article 6 of the DGSD</w:t>
      </w:r>
      <w:r w:rsidR="001D0921" w:rsidRPr="005A42C4">
        <w:rPr>
          <w:rFonts w:ascii="Cambria" w:hAnsi="Cambria"/>
          <w:lang w:val="en-GB"/>
        </w:rPr>
        <w:t>.</w:t>
      </w:r>
      <w:r w:rsidR="00FA17DC" w:rsidRPr="005A42C4">
        <w:rPr>
          <w:rFonts w:ascii="Cambria" w:hAnsi="Cambria"/>
          <w:lang w:val="en-GB"/>
        </w:rPr>
        <w:t xml:space="preserve"> Where the total amount of the deposit exceeds the covered part as indicated above, the part exceeding the coverage shall not be reported in </w:t>
      </w:r>
      <w:r w:rsidR="00DA3A5D" w:rsidRPr="005A42C4">
        <w:rPr>
          <w:rFonts w:ascii="Cambria" w:hAnsi="Cambria"/>
          <w:lang w:val="en-GB"/>
        </w:rPr>
        <w:t>r01</w:t>
      </w:r>
      <w:r w:rsidR="00FA17DC" w:rsidRPr="005A42C4">
        <w:rPr>
          <w:rFonts w:ascii="Cambria" w:hAnsi="Cambria"/>
          <w:lang w:val="en-GB"/>
        </w:rPr>
        <w:t xml:space="preserve">10, but rather split out into </w:t>
      </w:r>
      <w:r w:rsidR="00DA3A5D" w:rsidRPr="005A42C4">
        <w:rPr>
          <w:rFonts w:ascii="Cambria" w:hAnsi="Cambria"/>
          <w:lang w:val="en-GB"/>
        </w:rPr>
        <w:t>r03</w:t>
      </w:r>
      <w:r w:rsidR="00FA17DC" w:rsidRPr="005A42C4">
        <w:rPr>
          <w:rFonts w:ascii="Cambria" w:hAnsi="Cambria"/>
          <w:lang w:val="en-GB"/>
        </w:rPr>
        <w:t xml:space="preserve">10 or </w:t>
      </w:r>
      <w:r w:rsidR="0080222E" w:rsidRPr="005A42C4">
        <w:rPr>
          <w:rFonts w:ascii="Cambria" w:hAnsi="Cambria"/>
          <w:lang w:val="en-GB"/>
        </w:rPr>
        <w:t>r0</w:t>
      </w:r>
      <w:r w:rsidR="0018198C" w:rsidRPr="005A42C4">
        <w:rPr>
          <w:rFonts w:ascii="Cambria" w:hAnsi="Cambria"/>
          <w:lang w:val="en-GB"/>
        </w:rPr>
        <w:t>3</w:t>
      </w:r>
      <w:r w:rsidR="00FA17DC" w:rsidRPr="005A42C4">
        <w:rPr>
          <w:rFonts w:ascii="Cambria" w:hAnsi="Cambria"/>
          <w:lang w:val="en-GB"/>
        </w:rPr>
        <w:t>20 depending on the preferential treatment or not of such uncovered part.</w:t>
      </w:r>
    </w:p>
    <w:p w14:paraId="447D5794" w14:textId="2CBFD936" w:rsidR="00E20340" w:rsidRPr="005A42C4" w:rsidRDefault="00DA3A5D" w:rsidP="009474F1">
      <w:pPr>
        <w:pStyle w:val="Heading4"/>
        <w:rPr>
          <w:rFonts w:ascii="Cambria" w:hAnsi="Cambria"/>
          <w:lang w:val="en-GB"/>
        </w:rPr>
      </w:pPr>
      <w:r w:rsidRPr="005A42C4">
        <w:rPr>
          <w:rFonts w:ascii="Cambria" w:hAnsi="Cambria"/>
          <w:lang w:val="en-GB"/>
        </w:rPr>
        <w:t>r01</w:t>
      </w:r>
      <w:r w:rsidR="007D50F0" w:rsidRPr="005A42C4">
        <w:rPr>
          <w:rFonts w:ascii="Cambria" w:hAnsi="Cambria"/>
          <w:lang w:val="en-GB"/>
        </w:rPr>
        <w:t>2</w:t>
      </w:r>
      <w:r w:rsidR="00E20340" w:rsidRPr="005A42C4">
        <w:rPr>
          <w:rFonts w:ascii="Cambria" w:hAnsi="Cambria"/>
          <w:lang w:val="en-GB"/>
        </w:rPr>
        <w:t xml:space="preserve">0 - Secured liabilities </w:t>
      </w:r>
      <w:r w:rsidR="00045639" w:rsidRPr="005A42C4">
        <w:rPr>
          <w:rFonts w:ascii="Cambria" w:hAnsi="Cambria"/>
          <w:lang w:val="en-GB"/>
        </w:rPr>
        <w:t xml:space="preserve">- collateralized part </w:t>
      </w:r>
      <w:r w:rsidR="00E20340" w:rsidRPr="005A42C4">
        <w:rPr>
          <w:rFonts w:ascii="Cambria" w:hAnsi="Cambria"/>
          <w:lang w:val="en-GB"/>
        </w:rPr>
        <w:t>(BRRD art. 44/2/b)</w:t>
      </w:r>
    </w:p>
    <w:p w14:paraId="1795B4D1" w14:textId="77777777" w:rsidR="00E20340" w:rsidRPr="005A42C4" w:rsidRDefault="00E20340" w:rsidP="009474F1">
      <w:pPr>
        <w:rPr>
          <w:rFonts w:ascii="Cambria" w:hAnsi="Cambria"/>
          <w:lang w:val="en-GB"/>
        </w:rPr>
      </w:pPr>
      <w:r w:rsidRPr="005A42C4">
        <w:rPr>
          <w:rFonts w:ascii="Cambria" w:hAnsi="Cambria"/>
          <w:lang w:val="en-GB"/>
        </w:rPr>
        <w:t>Secured liabilities including</w:t>
      </w:r>
      <w:r w:rsidR="0041331E" w:rsidRPr="005A42C4">
        <w:rPr>
          <w:rFonts w:ascii="Cambria" w:hAnsi="Cambria"/>
          <w:lang w:val="en-GB"/>
        </w:rPr>
        <w:t xml:space="preserve"> repurchase agreements (repos),</w:t>
      </w:r>
      <w:r w:rsidRPr="005A42C4">
        <w:rPr>
          <w:rFonts w:ascii="Cambria" w:hAnsi="Cambria"/>
          <w:lang w:val="en-GB"/>
        </w:rPr>
        <w:t xml:space="preserve"> covered bonds and liabilities in the form of </w:t>
      </w:r>
      <w:r w:rsidRPr="005A42C4">
        <w:rPr>
          <w:rFonts w:ascii="Cambria" w:hAnsi="Cambria"/>
          <w:b/>
          <w:lang w:val="en-GB"/>
        </w:rPr>
        <w:t>financial instruments</w:t>
      </w:r>
      <w:r w:rsidRPr="005A42C4">
        <w:rPr>
          <w:rFonts w:ascii="Cambria" w:hAnsi="Cambria"/>
          <w:lang w:val="en-GB"/>
        </w:rPr>
        <w:t xml:space="preserve"> used for hedging purposes (thus excluding derivatives) which form an integral part of the cover pool and which according to national law are secured in a way similar to covered bonds.</w:t>
      </w:r>
    </w:p>
    <w:p w14:paraId="6546668D" w14:textId="56FCA94F" w:rsidR="00E20340" w:rsidRPr="005A42C4" w:rsidRDefault="00E20340" w:rsidP="009474F1">
      <w:pPr>
        <w:rPr>
          <w:rFonts w:ascii="Cambria" w:hAnsi="Cambria"/>
          <w:lang w:val="en-GB"/>
        </w:rPr>
      </w:pPr>
      <w:r w:rsidRPr="005A42C4">
        <w:rPr>
          <w:rFonts w:ascii="Cambria" w:hAnsi="Cambria"/>
          <w:lang w:val="en-GB"/>
        </w:rPr>
        <w:t xml:space="preserve">Neither the requirement to ensure that all secured assets relating to a covered bond cover pool remain unaffected, segregated and with enough funding, nor the exclusion above shall prevent resolution authorities, where appropriate, from exercising those powers in relation to any part of a secured liability or a liability for which collateral has been pledged that exceeds the value of the assets, pledge, lien or collateral against which it is secured. Such an uncovered amount of these secured liabilities shall not be reported in this line, but reported under line </w:t>
      </w:r>
      <w:r w:rsidR="00DA3A5D" w:rsidRPr="005A42C4">
        <w:rPr>
          <w:rFonts w:ascii="Cambria" w:hAnsi="Cambria"/>
          <w:lang w:val="en-GB"/>
        </w:rPr>
        <w:t>r03</w:t>
      </w:r>
      <w:r w:rsidR="00471BA2" w:rsidRPr="005A42C4">
        <w:rPr>
          <w:rFonts w:ascii="Cambria" w:hAnsi="Cambria"/>
          <w:lang w:val="en-GB"/>
        </w:rPr>
        <w:t>4</w:t>
      </w:r>
      <w:r w:rsidRPr="005A42C4">
        <w:rPr>
          <w:rFonts w:ascii="Cambria" w:hAnsi="Cambria"/>
          <w:lang w:val="en-GB"/>
        </w:rPr>
        <w:t>0, subject to additional breakdown (cf. below).</w:t>
      </w:r>
    </w:p>
    <w:p w14:paraId="58D92B01" w14:textId="77777777" w:rsidR="00E20340" w:rsidRPr="005A42C4" w:rsidRDefault="00E20340" w:rsidP="009474F1">
      <w:pPr>
        <w:rPr>
          <w:rFonts w:ascii="Cambria" w:hAnsi="Cambria"/>
          <w:lang w:val="en-GB"/>
        </w:rPr>
      </w:pPr>
      <w:r w:rsidRPr="005A42C4">
        <w:rPr>
          <w:rFonts w:ascii="Cambria" w:hAnsi="Cambria"/>
          <w:lang w:val="en-GB"/>
        </w:rPr>
        <w:t xml:space="preserve">Central Bank liabilities which are covered by a collateral pool (e.g. MRO, LTRO, TLTRO, etc.) should be regarded as secured liabilities. These can be subsequently detailed in the </w:t>
      </w:r>
      <w:r w:rsidR="006273B4" w:rsidRPr="005A42C4">
        <w:rPr>
          <w:rFonts w:ascii="Cambria" w:hAnsi="Cambria"/>
          <w:lang w:val="en-GB"/>
        </w:rPr>
        <w:t xml:space="preserve">Secured Finance </w:t>
      </w:r>
      <w:r w:rsidRPr="005A42C4">
        <w:rPr>
          <w:rFonts w:ascii="Cambria" w:hAnsi="Cambria"/>
          <w:lang w:val="en-GB"/>
        </w:rPr>
        <w:t>tab</w:t>
      </w:r>
      <w:r w:rsidR="006273B4" w:rsidRPr="005A42C4">
        <w:rPr>
          <w:rFonts w:ascii="Cambria" w:hAnsi="Cambria"/>
          <w:lang w:val="en-GB"/>
        </w:rPr>
        <w:t>le</w:t>
      </w:r>
      <w:r w:rsidRPr="005A42C4">
        <w:rPr>
          <w:rFonts w:ascii="Cambria" w:hAnsi="Cambria"/>
          <w:lang w:val="en-GB"/>
        </w:rPr>
        <w:t>.</w:t>
      </w:r>
    </w:p>
    <w:p w14:paraId="1E53A1E7" w14:textId="77777777" w:rsidR="007D7FDF" w:rsidRPr="005A42C4" w:rsidRDefault="007D7FDF" w:rsidP="009474F1">
      <w:pPr>
        <w:rPr>
          <w:rFonts w:ascii="Cambria" w:hAnsi="Cambria"/>
          <w:lang w:val="en-GB"/>
        </w:rPr>
      </w:pPr>
      <w:r w:rsidRPr="005A42C4">
        <w:rPr>
          <w:rFonts w:ascii="Cambria" w:hAnsi="Cambria"/>
          <w:lang w:val="en-GB"/>
        </w:rPr>
        <w:t xml:space="preserve">A specific type </w:t>
      </w:r>
      <w:r w:rsidR="00B71597" w:rsidRPr="005A42C4">
        <w:rPr>
          <w:rFonts w:ascii="Cambria" w:hAnsi="Cambria"/>
          <w:lang w:val="en-GB"/>
        </w:rPr>
        <w:t xml:space="preserve">of </w:t>
      </w:r>
      <w:r w:rsidRPr="005A42C4">
        <w:rPr>
          <w:rFonts w:ascii="Cambria" w:hAnsi="Cambria"/>
          <w:lang w:val="en-GB"/>
        </w:rPr>
        <w:t>liabilities are collateral positions</w:t>
      </w:r>
      <w:r w:rsidR="00B71597" w:rsidRPr="005A42C4">
        <w:rPr>
          <w:rFonts w:ascii="Cambria" w:hAnsi="Cambria"/>
          <w:lang w:val="en-GB"/>
        </w:rPr>
        <w:t xml:space="preserve"> (e.g. cash collateral)</w:t>
      </w:r>
      <w:r w:rsidRPr="005A42C4">
        <w:rPr>
          <w:rFonts w:ascii="Cambria" w:hAnsi="Cambria"/>
          <w:lang w:val="en-GB"/>
        </w:rPr>
        <w:t xml:space="preserve"> received and recorded on the balance sheet. </w:t>
      </w:r>
      <w:r w:rsidR="00B71597" w:rsidRPr="005A42C4">
        <w:rPr>
          <w:rFonts w:ascii="Cambria" w:hAnsi="Cambria"/>
          <w:lang w:val="en-GB"/>
        </w:rPr>
        <w:t xml:space="preserve">Where such </w:t>
      </w:r>
      <w:r w:rsidR="00666214" w:rsidRPr="005A42C4">
        <w:rPr>
          <w:rFonts w:ascii="Cambria" w:hAnsi="Cambria"/>
          <w:lang w:val="en-GB"/>
        </w:rPr>
        <w:t xml:space="preserve">collateral </w:t>
      </w:r>
      <w:r w:rsidR="00B71597" w:rsidRPr="005A42C4">
        <w:rPr>
          <w:rFonts w:ascii="Cambria" w:hAnsi="Cambria"/>
          <w:lang w:val="en-GB"/>
        </w:rPr>
        <w:t>are legally bound with an</w:t>
      </w:r>
      <w:r w:rsidR="00666214" w:rsidRPr="005A42C4">
        <w:rPr>
          <w:rFonts w:ascii="Cambria" w:hAnsi="Cambria"/>
          <w:lang w:val="en-GB"/>
        </w:rPr>
        <w:t xml:space="preserve"> asset position, these shall be treated as secured liabilities for the purpose of this report.</w:t>
      </w:r>
    </w:p>
    <w:p w14:paraId="0976DAE9" w14:textId="77777777" w:rsidR="00282945" w:rsidRPr="005A42C4" w:rsidRDefault="00282945" w:rsidP="009474F1">
      <w:pPr>
        <w:rPr>
          <w:rFonts w:ascii="Cambria" w:hAnsi="Cambria"/>
          <w:lang w:val="en-GB"/>
        </w:rPr>
      </w:pPr>
      <w:r w:rsidRPr="005A42C4">
        <w:rPr>
          <w:rFonts w:ascii="Cambria" w:hAnsi="Cambria"/>
          <w:lang w:val="en-GB"/>
        </w:rPr>
        <w:t>In line with the EBA Q&amp;A 2015_1779 and 2016_2951, liabilities benefitting from a third party guarantee (e.g. state guarantee on a bond) do not constitute a secured liability.</w:t>
      </w:r>
      <w:r w:rsidR="00FA17DC" w:rsidRPr="005A42C4">
        <w:rPr>
          <w:rFonts w:ascii="Cambria" w:hAnsi="Cambria"/>
          <w:lang w:val="en-GB"/>
        </w:rPr>
        <w:t xml:space="preserve"> Likewise, short positions where the underlying instruments can be reused by the counterparty do not qualify as secured liabilities.</w:t>
      </w:r>
    </w:p>
    <w:p w14:paraId="2FB8D4C4" w14:textId="0A1CD846" w:rsidR="00E20340" w:rsidRPr="005A42C4" w:rsidRDefault="00DA3A5D" w:rsidP="009474F1">
      <w:pPr>
        <w:pStyle w:val="Heading4"/>
        <w:rPr>
          <w:rFonts w:ascii="Cambria" w:hAnsi="Cambria"/>
          <w:lang w:val="en-GB"/>
        </w:rPr>
      </w:pPr>
      <w:r w:rsidRPr="005A42C4">
        <w:rPr>
          <w:rFonts w:ascii="Cambria" w:hAnsi="Cambria"/>
          <w:lang w:val="en-GB"/>
        </w:rPr>
        <w:t>r01</w:t>
      </w:r>
      <w:r w:rsidR="007D50F0" w:rsidRPr="005A42C4">
        <w:rPr>
          <w:rFonts w:ascii="Cambria" w:hAnsi="Cambria"/>
          <w:lang w:val="en-GB"/>
        </w:rPr>
        <w:t>30</w:t>
      </w:r>
      <w:r w:rsidR="00E20340" w:rsidRPr="005A42C4">
        <w:rPr>
          <w:rFonts w:ascii="Cambria" w:hAnsi="Cambria"/>
          <w:lang w:val="en-GB"/>
        </w:rPr>
        <w:t xml:space="preserve"> - Client liabilities</w:t>
      </w:r>
      <w:r w:rsidR="00045639" w:rsidRPr="005A42C4">
        <w:rPr>
          <w:rFonts w:ascii="Cambria" w:hAnsi="Cambria"/>
          <w:lang w:val="en-GB"/>
        </w:rPr>
        <w:t>, if protected in insolvency</w:t>
      </w:r>
      <w:r w:rsidR="00E20340" w:rsidRPr="005A42C4">
        <w:rPr>
          <w:rFonts w:ascii="Cambria" w:hAnsi="Cambria"/>
          <w:lang w:val="en-GB"/>
        </w:rPr>
        <w:t xml:space="preserve"> (BRRD art. 44/2/c)</w:t>
      </w:r>
    </w:p>
    <w:p w14:paraId="60C73EEA" w14:textId="77777777" w:rsidR="00E20340" w:rsidRPr="005A42C4" w:rsidRDefault="00E20340" w:rsidP="009474F1">
      <w:pPr>
        <w:rPr>
          <w:rFonts w:ascii="Cambria" w:hAnsi="Cambria"/>
          <w:lang w:val="en-GB"/>
        </w:rPr>
      </w:pPr>
      <w:r w:rsidRPr="005A42C4">
        <w:rPr>
          <w:rFonts w:ascii="Cambria" w:hAnsi="Cambria"/>
          <w:lang w:val="en-GB"/>
        </w:rPr>
        <w:t>Any liability that arises by virtue of the holding by the institution or entity referred to in point (b), (c) or (d) of Article 1 (1) of the BRRD of client assets or client money including client assets or client money held on behalf of UCITS as defined in Article 1 (2) of the UCITS or of AIFs as defined in point (a) of Article 4 (1) of the AIFM, provided that such a client is protected under the applicable insolvency law.</w:t>
      </w:r>
    </w:p>
    <w:p w14:paraId="56C57D6F" w14:textId="474424AE" w:rsidR="00E20340" w:rsidRPr="005A42C4" w:rsidRDefault="00DA3A5D" w:rsidP="009474F1">
      <w:pPr>
        <w:pStyle w:val="Heading4"/>
        <w:rPr>
          <w:rFonts w:ascii="Cambria" w:hAnsi="Cambria"/>
          <w:lang w:val="en-GB"/>
        </w:rPr>
      </w:pPr>
      <w:r w:rsidRPr="005A42C4">
        <w:rPr>
          <w:rFonts w:ascii="Cambria" w:hAnsi="Cambria"/>
          <w:lang w:val="en-GB"/>
        </w:rPr>
        <w:t>r01</w:t>
      </w:r>
      <w:r w:rsidR="007D50F0" w:rsidRPr="005A42C4">
        <w:rPr>
          <w:rFonts w:ascii="Cambria" w:hAnsi="Cambria"/>
          <w:lang w:val="en-GB"/>
        </w:rPr>
        <w:t>4</w:t>
      </w:r>
      <w:r w:rsidR="00E20340" w:rsidRPr="005A42C4">
        <w:rPr>
          <w:rFonts w:ascii="Cambria" w:hAnsi="Cambria"/>
          <w:lang w:val="en-GB"/>
        </w:rPr>
        <w:t>0 - Fiduciary liabilities</w:t>
      </w:r>
      <w:r w:rsidR="00045639" w:rsidRPr="005A42C4">
        <w:rPr>
          <w:rFonts w:ascii="Cambria" w:hAnsi="Cambria"/>
          <w:lang w:val="en-GB"/>
        </w:rPr>
        <w:t>,</w:t>
      </w:r>
      <w:r w:rsidR="00E20340" w:rsidRPr="005A42C4">
        <w:rPr>
          <w:rFonts w:ascii="Cambria" w:hAnsi="Cambria"/>
          <w:lang w:val="en-GB"/>
        </w:rPr>
        <w:t xml:space="preserve"> </w:t>
      </w:r>
      <w:r w:rsidR="00045639" w:rsidRPr="005A42C4">
        <w:rPr>
          <w:rFonts w:ascii="Cambria" w:hAnsi="Cambria"/>
          <w:lang w:val="en-GB"/>
        </w:rPr>
        <w:t>if protected in insolvency</w:t>
      </w:r>
      <w:r w:rsidR="00E20340" w:rsidRPr="005A42C4">
        <w:rPr>
          <w:rFonts w:ascii="Cambria" w:hAnsi="Cambria"/>
          <w:lang w:val="en-GB"/>
        </w:rPr>
        <w:t xml:space="preserve"> (BRRD art. 44/2/d)</w:t>
      </w:r>
    </w:p>
    <w:p w14:paraId="7169F0C6" w14:textId="77777777" w:rsidR="00E20340" w:rsidRPr="005A42C4" w:rsidRDefault="00E20340" w:rsidP="009474F1">
      <w:pPr>
        <w:rPr>
          <w:rFonts w:ascii="Cambria" w:hAnsi="Cambria"/>
          <w:lang w:val="en-GB"/>
        </w:rPr>
      </w:pPr>
      <w:r w:rsidRPr="005A42C4">
        <w:rPr>
          <w:rFonts w:ascii="Cambria" w:hAnsi="Cambria"/>
          <w:lang w:val="en-GB"/>
        </w:rPr>
        <w:t>Any liability that arises by virtue of a fiduciary relationship between the institution or entity referred to in point (b), (c) or (d) of Article 1 (1) of the BRRD (as fiduciary) and another person (as beneficiary) provided that such a beneficiary is protected under the applicable insolvency or civil law.</w:t>
      </w:r>
    </w:p>
    <w:p w14:paraId="0846D9E3" w14:textId="5C027D96" w:rsidR="00E20340" w:rsidRPr="005A42C4" w:rsidRDefault="00DA3A5D" w:rsidP="009474F1">
      <w:pPr>
        <w:pStyle w:val="Heading4"/>
        <w:rPr>
          <w:rFonts w:ascii="Cambria" w:hAnsi="Cambria"/>
          <w:lang w:val="en-GB"/>
        </w:rPr>
      </w:pPr>
      <w:r w:rsidRPr="005A42C4">
        <w:rPr>
          <w:rFonts w:ascii="Cambria" w:hAnsi="Cambria"/>
          <w:lang w:val="en-GB"/>
        </w:rPr>
        <w:t>r01</w:t>
      </w:r>
      <w:r w:rsidR="00E20340" w:rsidRPr="005A42C4">
        <w:rPr>
          <w:rFonts w:ascii="Cambria" w:hAnsi="Cambria"/>
          <w:lang w:val="en-GB"/>
        </w:rPr>
        <w:t>5</w:t>
      </w:r>
      <w:r w:rsidR="007D50F0" w:rsidRPr="005A42C4">
        <w:rPr>
          <w:rFonts w:ascii="Cambria" w:hAnsi="Cambria"/>
          <w:lang w:val="en-GB"/>
        </w:rPr>
        <w:t>0</w:t>
      </w:r>
      <w:r w:rsidR="00E20340" w:rsidRPr="005A42C4">
        <w:rPr>
          <w:rFonts w:ascii="Cambria" w:hAnsi="Cambria"/>
          <w:lang w:val="en-GB"/>
        </w:rPr>
        <w:t xml:space="preserve"> - Institution liabilities &lt; 7 days (BRRD art. 44/2/e)</w:t>
      </w:r>
    </w:p>
    <w:p w14:paraId="212199FB" w14:textId="6223806F" w:rsidR="00E20340" w:rsidRPr="005A42C4" w:rsidRDefault="00E20340" w:rsidP="009474F1">
      <w:pPr>
        <w:rPr>
          <w:rFonts w:ascii="Cambria" w:hAnsi="Cambria"/>
          <w:lang w:val="en-GB"/>
        </w:rPr>
      </w:pPr>
      <w:r w:rsidRPr="005A42C4">
        <w:rPr>
          <w:rFonts w:ascii="Cambria" w:hAnsi="Cambria"/>
          <w:lang w:val="en-GB"/>
        </w:rPr>
        <w:t xml:space="preserve">Liabilities to institutions, </w:t>
      </w:r>
      <w:r w:rsidR="00797E5D">
        <w:rPr>
          <w:rFonts w:ascii="Cambria" w:hAnsi="Cambria"/>
          <w:lang w:val="en-GB"/>
        </w:rPr>
        <w:t>ex</w:t>
      </w:r>
      <w:r w:rsidR="0080222E" w:rsidRPr="005A42C4">
        <w:rPr>
          <w:rFonts w:ascii="Cambria" w:hAnsi="Cambria"/>
          <w:lang w:val="en-GB"/>
        </w:rPr>
        <w:t xml:space="preserve">cluding </w:t>
      </w:r>
      <w:r w:rsidRPr="005A42C4">
        <w:rPr>
          <w:rFonts w:ascii="Cambria" w:hAnsi="Cambria"/>
          <w:lang w:val="en-GB"/>
        </w:rPr>
        <w:t>entities that are part of the same group, with an original maturity of less than seven days.</w:t>
      </w:r>
      <w:r w:rsidR="00184A1B" w:rsidRPr="005A42C4">
        <w:rPr>
          <w:rFonts w:ascii="Cambria" w:hAnsi="Cambria"/>
          <w:lang w:val="en-GB"/>
        </w:rPr>
        <w:t xml:space="preserve"> For the sake of this report, entities of the same group shall be determined in line with the guidance for </w:t>
      </w:r>
      <w:r w:rsidR="00DA3A5D" w:rsidRPr="005A42C4">
        <w:rPr>
          <w:rFonts w:ascii="Cambria" w:hAnsi="Cambria"/>
          <w:lang w:val="en-GB"/>
        </w:rPr>
        <w:t>r00</w:t>
      </w:r>
      <w:r w:rsidR="00184A1B" w:rsidRPr="005A42C4">
        <w:rPr>
          <w:rFonts w:ascii="Cambria" w:hAnsi="Cambria"/>
          <w:lang w:val="en-GB"/>
        </w:rPr>
        <w:t xml:space="preserve">40 of </w:t>
      </w:r>
      <w:r w:rsidR="00A52EDD" w:rsidRPr="005A42C4">
        <w:rPr>
          <w:rFonts w:ascii="Cambria" w:hAnsi="Cambria"/>
          <w:lang w:val="en-GB"/>
        </w:rPr>
        <w:t>T99.00</w:t>
      </w:r>
      <w:r w:rsidR="00184A1B" w:rsidRPr="005A42C4">
        <w:rPr>
          <w:rFonts w:ascii="Cambria" w:hAnsi="Cambria"/>
          <w:lang w:val="en-GB"/>
        </w:rPr>
        <w:t>, i.e. all entities belonging to the consolidation scope of the ultimate parent.</w:t>
      </w:r>
    </w:p>
    <w:p w14:paraId="211CF4B9" w14:textId="1BAA053D" w:rsidR="00E20340" w:rsidRPr="005A42C4" w:rsidRDefault="00DA3A5D" w:rsidP="009474F1">
      <w:pPr>
        <w:pStyle w:val="Heading4"/>
        <w:rPr>
          <w:rFonts w:ascii="Cambria" w:hAnsi="Cambria"/>
          <w:lang w:val="en-GB"/>
        </w:rPr>
      </w:pPr>
      <w:r w:rsidRPr="005A42C4">
        <w:rPr>
          <w:rFonts w:ascii="Cambria" w:hAnsi="Cambria"/>
          <w:lang w:val="en-GB"/>
        </w:rPr>
        <w:lastRenderedPageBreak/>
        <w:t>r01</w:t>
      </w:r>
      <w:r w:rsidR="007D50F0" w:rsidRPr="005A42C4">
        <w:rPr>
          <w:rFonts w:ascii="Cambria" w:hAnsi="Cambria"/>
          <w:lang w:val="en-GB"/>
        </w:rPr>
        <w:t>60</w:t>
      </w:r>
      <w:r w:rsidR="00E20340" w:rsidRPr="005A42C4">
        <w:rPr>
          <w:rFonts w:ascii="Cambria" w:hAnsi="Cambria"/>
          <w:lang w:val="en-GB"/>
        </w:rPr>
        <w:t xml:space="preserve"> - System (operator) liabilities &lt; 7 days (BRRD art. 44/2/f)</w:t>
      </w:r>
    </w:p>
    <w:p w14:paraId="6EE51C12" w14:textId="0D864755" w:rsidR="00E20340" w:rsidRPr="005A42C4" w:rsidRDefault="00E20340" w:rsidP="009474F1">
      <w:pPr>
        <w:rPr>
          <w:rFonts w:ascii="Cambria" w:hAnsi="Cambria"/>
          <w:lang w:val="en-GB"/>
        </w:rPr>
      </w:pPr>
      <w:r w:rsidRPr="005A42C4">
        <w:rPr>
          <w:rFonts w:ascii="Cambria" w:hAnsi="Cambria"/>
          <w:lang w:val="en-GB"/>
        </w:rPr>
        <w:t>Liabilities with a remaining maturity of less than seven days, owed to systems or operators of systems</w:t>
      </w:r>
      <w:r w:rsidR="00906730">
        <w:rPr>
          <w:rFonts w:ascii="Cambria" w:hAnsi="Cambria"/>
          <w:lang w:val="en-GB"/>
        </w:rPr>
        <w:t xml:space="preserve"> designated according to the </w:t>
      </w:r>
      <w:commentRangeStart w:id="139"/>
      <w:r w:rsidR="00906730">
        <w:rPr>
          <w:rFonts w:ascii="Cambria" w:hAnsi="Cambria"/>
          <w:lang w:val="en-GB"/>
        </w:rPr>
        <w:t>SFD</w:t>
      </w:r>
      <w:r w:rsidRPr="005A42C4">
        <w:rPr>
          <w:rFonts w:ascii="Cambria" w:hAnsi="Cambria"/>
          <w:lang w:val="en-GB"/>
        </w:rPr>
        <w:t xml:space="preserve"> or </w:t>
      </w:r>
      <w:commentRangeEnd w:id="139"/>
      <w:r w:rsidR="004A1962">
        <w:rPr>
          <w:rStyle w:val="CommentReference"/>
          <w:rFonts w:ascii="Cambria" w:eastAsia="MS Mincho" w:hAnsi="Cambria" w:cs="Times New Roman"/>
          <w:lang w:val="en-US"/>
        </w:rPr>
        <w:commentReference w:id="139"/>
      </w:r>
      <w:r w:rsidRPr="005A42C4">
        <w:rPr>
          <w:rFonts w:ascii="Cambria" w:hAnsi="Cambria"/>
          <w:lang w:val="en-GB"/>
        </w:rPr>
        <w:t>their participants and arising from the participation in such a system.</w:t>
      </w:r>
      <w:r w:rsidR="00A32783" w:rsidRPr="005A42C4">
        <w:rPr>
          <w:rFonts w:ascii="Cambria" w:hAnsi="Cambria"/>
          <w:lang w:val="en-GB"/>
        </w:rPr>
        <w:t xml:space="preserve"> This for example includes payment </w:t>
      </w:r>
      <w:r w:rsidR="00F3323A" w:rsidRPr="005A42C4">
        <w:rPr>
          <w:rFonts w:ascii="Cambria" w:hAnsi="Cambria"/>
          <w:lang w:val="en-GB"/>
        </w:rPr>
        <w:t xml:space="preserve">and security settlement </w:t>
      </w:r>
      <w:r w:rsidR="00A32783" w:rsidRPr="005A42C4">
        <w:rPr>
          <w:rFonts w:ascii="Cambria" w:hAnsi="Cambria"/>
          <w:lang w:val="en-GB"/>
        </w:rPr>
        <w:t>systems and clearing houses.</w:t>
      </w:r>
    </w:p>
    <w:p w14:paraId="6672C796" w14:textId="2B217063" w:rsidR="00E20340" w:rsidRPr="005A42C4" w:rsidRDefault="00DA3A5D" w:rsidP="009474F1">
      <w:pPr>
        <w:pStyle w:val="Heading4"/>
        <w:rPr>
          <w:rFonts w:ascii="Cambria" w:hAnsi="Cambria"/>
          <w:lang w:val="en-GB"/>
        </w:rPr>
      </w:pPr>
      <w:r w:rsidRPr="005A42C4">
        <w:rPr>
          <w:rFonts w:ascii="Cambria" w:hAnsi="Cambria"/>
          <w:lang w:val="en-GB"/>
        </w:rPr>
        <w:t>r01</w:t>
      </w:r>
      <w:r w:rsidR="007D50F0" w:rsidRPr="005A42C4">
        <w:rPr>
          <w:rFonts w:ascii="Cambria" w:hAnsi="Cambria"/>
          <w:lang w:val="en-GB"/>
        </w:rPr>
        <w:t>70</w:t>
      </w:r>
      <w:r w:rsidR="00E20340" w:rsidRPr="005A42C4">
        <w:rPr>
          <w:rFonts w:ascii="Cambria" w:hAnsi="Cambria"/>
          <w:lang w:val="en-GB"/>
        </w:rPr>
        <w:t xml:space="preserve"> - Employee liabilities (BRRD art. 44/2/g/i)</w:t>
      </w:r>
    </w:p>
    <w:p w14:paraId="5C5FB8CE" w14:textId="77777777" w:rsidR="00E20340" w:rsidRPr="005A42C4" w:rsidRDefault="00E20340" w:rsidP="009474F1">
      <w:pPr>
        <w:rPr>
          <w:rFonts w:ascii="Cambria" w:hAnsi="Cambria"/>
          <w:lang w:val="en-GB"/>
        </w:rPr>
      </w:pPr>
      <w:r w:rsidRPr="005A42C4">
        <w:rPr>
          <w:rFonts w:ascii="Cambria" w:hAnsi="Cambria"/>
          <w:lang w:val="en-GB"/>
        </w:rPr>
        <w:t>Liabilities to an employee, in relation to accrued salary, pension benefits or other fixed remuneration, except for the variable component of remuneration that is not regulated by a collective bargaining agreement.</w:t>
      </w:r>
    </w:p>
    <w:p w14:paraId="5F41A594" w14:textId="291A6211" w:rsidR="00E20340" w:rsidRPr="005A42C4" w:rsidRDefault="00E20340" w:rsidP="009474F1">
      <w:pPr>
        <w:rPr>
          <w:rFonts w:ascii="Cambria" w:hAnsi="Cambria"/>
          <w:lang w:val="en-GB"/>
        </w:rPr>
      </w:pPr>
      <w:r w:rsidRPr="005A42C4">
        <w:rPr>
          <w:rFonts w:ascii="Cambria" w:hAnsi="Cambria"/>
          <w:lang w:val="en-GB"/>
        </w:rPr>
        <w:t>This shall however not apply to the variable component of the remuneration of material risk takers as identified in Article 92 (2) of the CRD IV.</w:t>
      </w:r>
      <w:r w:rsidR="00F3323A" w:rsidRPr="005A42C4">
        <w:rPr>
          <w:rFonts w:ascii="Cambria" w:hAnsi="Cambria"/>
          <w:lang w:val="en-GB"/>
        </w:rPr>
        <w:t xml:space="preserve"> These liabilities would have to be reported in the residual liabilities category (</w:t>
      </w:r>
      <w:r w:rsidR="00DA3A5D" w:rsidRPr="005A42C4">
        <w:rPr>
          <w:rFonts w:ascii="Cambria" w:hAnsi="Cambria"/>
          <w:lang w:val="en-GB"/>
        </w:rPr>
        <w:t>r04</w:t>
      </w:r>
      <w:r w:rsidR="00F3323A" w:rsidRPr="005A42C4">
        <w:rPr>
          <w:rFonts w:ascii="Cambria" w:hAnsi="Cambria"/>
          <w:lang w:val="en-GB"/>
        </w:rPr>
        <w:t>00)</w:t>
      </w:r>
      <w:r w:rsidR="00115A34" w:rsidRPr="005A42C4">
        <w:rPr>
          <w:rFonts w:ascii="Cambria" w:hAnsi="Cambria"/>
          <w:lang w:val="en-GB"/>
        </w:rPr>
        <w:t xml:space="preserve"> if their maturity is lower than 1 year and in the other MREL eligible liabilities category (</w:t>
      </w:r>
      <w:r w:rsidR="00DA3A5D" w:rsidRPr="005A42C4">
        <w:rPr>
          <w:rFonts w:ascii="Cambria" w:hAnsi="Cambria"/>
          <w:lang w:val="en-GB"/>
        </w:rPr>
        <w:t>r03</w:t>
      </w:r>
      <w:r w:rsidR="00115A34" w:rsidRPr="005A42C4">
        <w:rPr>
          <w:rFonts w:ascii="Cambria" w:hAnsi="Cambria"/>
          <w:lang w:val="en-GB"/>
        </w:rPr>
        <w:t>80) if their maturity is longer</w:t>
      </w:r>
      <w:r w:rsidR="00F3323A" w:rsidRPr="005A42C4">
        <w:rPr>
          <w:rFonts w:ascii="Cambria" w:hAnsi="Cambria"/>
          <w:lang w:val="en-GB"/>
        </w:rPr>
        <w:t>.</w:t>
      </w:r>
    </w:p>
    <w:p w14:paraId="747A0A6F" w14:textId="14E641A1" w:rsidR="00E20340" w:rsidRPr="005A42C4" w:rsidRDefault="00DA3A5D" w:rsidP="009474F1">
      <w:pPr>
        <w:pStyle w:val="Heading4"/>
        <w:rPr>
          <w:rFonts w:ascii="Cambria" w:hAnsi="Cambria"/>
          <w:lang w:val="en-GB"/>
        </w:rPr>
      </w:pPr>
      <w:r w:rsidRPr="005A42C4">
        <w:rPr>
          <w:rFonts w:ascii="Cambria" w:hAnsi="Cambria"/>
          <w:lang w:val="en-GB"/>
        </w:rPr>
        <w:t>r01</w:t>
      </w:r>
      <w:r w:rsidR="007D50F0" w:rsidRPr="005A42C4">
        <w:rPr>
          <w:rFonts w:ascii="Cambria" w:hAnsi="Cambria"/>
          <w:lang w:val="en-GB"/>
        </w:rPr>
        <w:t>80</w:t>
      </w:r>
      <w:r w:rsidR="00E20340" w:rsidRPr="005A42C4">
        <w:rPr>
          <w:rFonts w:ascii="Cambria" w:hAnsi="Cambria"/>
          <w:lang w:val="en-GB"/>
        </w:rPr>
        <w:t xml:space="preserve"> - Critical service liabilities (BRRD art. 44/2/g/ii)</w:t>
      </w:r>
    </w:p>
    <w:p w14:paraId="08EF4534" w14:textId="77777777" w:rsidR="00E20340" w:rsidRPr="005A42C4" w:rsidRDefault="00E20340" w:rsidP="009474F1">
      <w:pPr>
        <w:rPr>
          <w:rFonts w:ascii="Cambria" w:hAnsi="Cambria"/>
          <w:lang w:val="en-GB"/>
        </w:rPr>
      </w:pPr>
      <w:r w:rsidRPr="005A42C4">
        <w:rPr>
          <w:rFonts w:ascii="Cambria" w:hAnsi="Cambria"/>
          <w:lang w:val="en-GB"/>
        </w:rPr>
        <w:t>Liabilities to a commercial or trade creditor arising from the provision to the institution or entity referred to in point (b), (c) or (d) of Article 1 (1) of the BRRD of goods or services that are critical to the daily functioning of its operations, including IT services, utilities and the rental, servicing and upkeep of premises.</w:t>
      </w:r>
    </w:p>
    <w:p w14:paraId="5E3E9F8D" w14:textId="5892D865" w:rsidR="00E20340" w:rsidRPr="005A42C4" w:rsidRDefault="00DA3A5D" w:rsidP="009474F1">
      <w:pPr>
        <w:pStyle w:val="Heading4"/>
        <w:rPr>
          <w:rFonts w:ascii="Cambria" w:hAnsi="Cambria"/>
          <w:lang w:val="en-GB"/>
        </w:rPr>
      </w:pPr>
      <w:r w:rsidRPr="005A42C4">
        <w:rPr>
          <w:rFonts w:ascii="Cambria" w:hAnsi="Cambria"/>
          <w:lang w:val="en-GB"/>
        </w:rPr>
        <w:t>r01</w:t>
      </w:r>
      <w:r w:rsidR="007D50F0" w:rsidRPr="005A42C4">
        <w:rPr>
          <w:rFonts w:ascii="Cambria" w:hAnsi="Cambria"/>
          <w:lang w:val="en-GB"/>
        </w:rPr>
        <w:t>90</w:t>
      </w:r>
      <w:r w:rsidR="00E20340" w:rsidRPr="005A42C4">
        <w:rPr>
          <w:rFonts w:ascii="Cambria" w:hAnsi="Cambria"/>
          <w:lang w:val="en-GB"/>
        </w:rPr>
        <w:t xml:space="preserve"> - Tax and social</w:t>
      </w:r>
      <w:r w:rsidR="00045639" w:rsidRPr="005A42C4">
        <w:rPr>
          <w:rFonts w:ascii="Cambria" w:hAnsi="Cambria"/>
          <w:lang w:val="en-GB"/>
        </w:rPr>
        <w:t xml:space="preserve"> security authority liabilities, if preferred</w:t>
      </w:r>
      <w:r w:rsidR="00E20340" w:rsidRPr="005A42C4">
        <w:rPr>
          <w:rFonts w:ascii="Cambria" w:hAnsi="Cambria"/>
          <w:lang w:val="en-GB"/>
        </w:rPr>
        <w:t xml:space="preserve"> (BRRD art. 44/2/g/iii)</w:t>
      </w:r>
    </w:p>
    <w:p w14:paraId="237BBEE3" w14:textId="77777777" w:rsidR="00E20340" w:rsidRPr="005A42C4" w:rsidRDefault="00E20340" w:rsidP="009474F1">
      <w:pPr>
        <w:rPr>
          <w:rFonts w:ascii="Cambria" w:hAnsi="Cambria"/>
          <w:lang w:val="en-GB"/>
        </w:rPr>
      </w:pPr>
      <w:r w:rsidRPr="005A42C4">
        <w:rPr>
          <w:rFonts w:ascii="Cambria" w:hAnsi="Cambria"/>
          <w:lang w:val="en-GB"/>
        </w:rPr>
        <w:t>Liabilities to tax and social security authorities, provided that those liabilities are preferred under the applicable law.</w:t>
      </w:r>
    </w:p>
    <w:p w14:paraId="5D56DC0F" w14:textId="3BF26EFD" w:rsidR="00E20340" w:rsidRPr="005A42C4" w:rsidRDefault="00DA3A5D" w:rsidP="009474F1">
      <w:pPr>
        <w:pStyle w:val="Heading4"/>
        <w:rPr>
          <w:rFonts w:ascii="Cambria" w:hAnsi="Cambria"/>
          <w:lang w:val="en-GB"/>
        </w:rPr>
      </w:pPr>
      <w:r w:rsidRPr="005A42C4">
        <w:rPr>
          <w:rFonts w:ascii="Cambria" w:hAnsi="Cambria"/>
          <w:lang w:val="en-GB"/>
        </w:rPr>
        <w:t>r02</w:t>
      </w:r>
      <w:r w:rsidR="007D50F0" w:rsidRPr="005A42C4">
        <w:rPr>
          <w:rFonts w:ascii="Cambria" w:hAnsi="Cambria"/>
          <w:lang w:val="en-GB"/>
        </w:rPr>
        <w:t>00</w:t>
      </w:r>
      <w:r w:rsidR="00E20340" w:rsidRPr="005A42C4">
        <w:rPr>
          <w:rFonts w:ascii="Cambria" w:hAnsi="Cambria"/>
          <w:lang w:val="en-GB"/>
        </w:rPr>
        <w:t xml:space="preserve"> - DGS liabilities (BRRD art. 44/2/g/iv)</w:t>
      </w:r>
    </w:p>
    <w:p w14:paraId="6845243B" w14:textId="77777777" w:rsidR="00E20340" w:rsidRPr="005A42C4" w:rsidRDefault="00E20340" w:rsidP="009474F1">
      <w:pPr>
        <w:rPr>
          <w:rFonts w:ascii="Cambria" w:hAnsi="Cambria"/>
          <w:lang w:val="en-GB"/>
        </w:rPr>
      </w:pPr>
      <w:r w:rsidRPr="005A42C4">
        <w:rPr>
          <w:rFonts w:ascii="Cambria" w:hAnsi="Cambria"/>
          <w:lang w:val="en-GB"/>
        </w:rPr>
        <w:t>Liabilities to deposit guarantee schemes arising from contributions due in accordance with the DGSD.</w:t>
      </w:r>
    </w:p>
    <w:p w14:paraId="3F8BE425" w14:textId="224EE11E" w:rsidR="00E20340" w:rsidRPr="005A42C4" w:rsidRDefault="00DA3A5D" w:rsidP="009474F1">
      <w:pPr>
        <w:pStyle w:val="Heading4"/>
        <w:rPr>
          <w:rFonts w:ascii="Cambria" w:hAnsi="Cambria"/>
          <w:caps/>
          <w:lang w:val="en-GB"/>
        </w:rPr>
      </w:pPr>
      <w:r w:rsidRPr="005A42C4">
        <w:rPr>
          <w:rFonts w:ascii="Cambria" w:hAnsi="Cambria"/>
          <w:lang w:val="en-GB"/>
        </w:rPr>
        <w:t>r03</w:t>
      </w:r>
      <w:r w:rsidR="007D50F0" w:rsidRPr="005A42C4">
        <w:rPr>
          <w:rFonts w:ascii="Cambria" w:hAnsi="Cambria"/>
          <w:lang w:val="en-GB"/>
        </w:rPr>
        <w:t>0</w:t>
      </w:r>
      <w:r w:rsidR="00E20340" w:rsidRPr="005A42C4">
        <w:rPr>
          <w:rFonts w:ascii="Cambria" w:hAnsi="Cambria"/>
          <w:lang w:val="en-GB"/>
        </w:rPr>
        <w:t xml:space="preserve">0 - </w:t>
      </w:r>
      <w:r w:rsidR="00E20340" w:rsidRPr="005A42C4">
        <w:rPr>
          <w:rFonts w:ascii="Cambria" w:hAnsi="Cambria"/>
          <w:caps/>
          <w:lang w:val="en-GB"/>
        </w:rPr>
        <w:t>Liabilities not excluded from bail-in</w:t>
      </w:r>
    </w:p>
    <w:p w14:paraId="74BC2AD1" w14:textId="548636EB" w:rsidR="007B2A6D" w:rsidRPr="005A42C4" w:rsidRDefault="009E5B64" w:rsidP="007C54D2">
      <w:pPr>
        <w:rPr>
          <w:rFonts w:ascii="Cambria" w:hAnsi="Cambria"/>
          <w:lang w:val="en-GB"/>
        </w:rPr>
      </w:pPr>
      <w:r w:rsidRPr="005A42C4">
        <w:rPr>
          <w:rFonts w:ascii="Cambria" w:hAnsi="Cambria"/>
          <w:lang w:val="en-GB"/>
        </w:rPr>
        <w:t xml:space="preserve">This aggregated line is equal to the sum of lines </w:t>
      </w:r>
      <w:r w:rsidR="00DA3A5D" w:rsidRPr="005A42C4">
        <w:rPr>
          <w:rFonts w:ascii="Cambria" w:hAnsi="Cambria"/>
          <w:lang w:val="en-GB"/>
        </w:rPr>
        <w:t>r03</w:t>
      </w:r>
      <w:r w:rsidRPr="005A42C4">
        <w:rPr>
          <w:rFonts w:ascii="Cambria" w:hAnsi="Cambria"/>
          <w:lang w:val="en-GB"/>
        </w:rPr>
        <w:t xml:space="preserve">10, </w:t>
      </w:r>
      <w:r w:rsidR="00DA3A5D" w:rsidRPr="005A42C4">
        <w:rPr>
          <w:rFonts w:ascii="Cambria" w:hAnsi="Cambria"/>
          <w:lang w:val="en-GB"/>
        </w:rPr>
        <w:t>r03</w:t>
      </w:r>
      <w:r w:rsidRPr="005A42C4">
        <w:rPr>
          <w:rFonts w:ascii="Cambria" w:hAnsi="Cambria"/>
          <w:lang w:val="en-GB"/>
        </w:rPr>
        <w:t xml:space="preserve">20, </w:t>
      </w:r>
      <w:r w:rsidR="00DA3A5D" w:rsidRPr="005A42C4">
        <w:rPr>
          <w:rFonts w:ascii="Cambria" w:hAnsi="Cambria"/>
          <w:lang w:val="en-GB"/>
        </w:rPr>
        <w:t>r03</w:t>
      </w:r>
      <w:r w:rsidRPr="005A42C4">
        <w:rPr>
          <w:rFonts w:ascii="Cambria" w:hAnsi="Cambria"/>
          <w:lang w:val="en-GB"/>
        </w:rPr>
        <w:t xml:space="preserve">34, </w:t>
      </w:r>
      <w:r w:rsidR="00DA3A5D" w:rsidRPr="005A42C4">
        <w:rPr>
          <w:rFonts w:ascii="Cambria" w:hAnsi="Cambria"/>
          <w:lang w:val="en-GB"/>
        </w:rPr>
        <w:t>r03</w:t>
      </w:r>
      <w:r w:rsidRPr="005A42C4">
        <w:rPr>
          <w:rFonts w:ascii="Cambria" w:hAnsi="Cambria"/>
          <w:lang w:val="en-GB"/>
        </w:rPr>
        <w:t xml:space="preserve">40, </w:t>
      </w:r>
      <w:r w:rsidR="00DA3A5D" w:rsidRPr="005A42C4">
        <w:rPr>
          <w:rFonts w:ascii="Cambria" w:hAnsi="Cambria"/>
          <w:lang w:val="en-GB"/>
        </w:rPr>
        <w:t>r03</w:t>
      </w:r>
      <w:r w:rsidRPr="005A42C4">
        <w:rPr>
          <w:rFonts w:ascii="Cambria" w:hAnsi="Cambria"/>
          <w:lang w:val="en-GB"/>
        </w:rPr>
        <w:t xml:space="preserve">50, </w:t>
      </w:r>
      <w:r w:rsidR="00DA3A5D" w:rsidRPr="005A42C4">
        <w:rPr>
          <w:rFonts w:ascii="Cambria" w:hAnsi="Cambria"/>
          <w:lang w:val="en-GB"/>
        </w:rPr>
        <w:t>r03</w:t>
      </w:r>
      <w:r w:rsidRPr="005A42C4">
        <w:rPr>
          <w:rFonts w:ascii="Cambria" w:hAnsi="Cambria"/>
          <w:lang w:val="en-GB"/>
        </w:rPr>
        <w:t xml:space="preserve">60, </w:t>
      </w:r>
      <w:r w:rsidR="00E8248D">
        <w:rPr>
          <w:rFonts w:ascii="Cambria" w:hAnsi="Cambria"/>
          <w:lang w:val="en-GB"/>
        </w:rPr>
        <w:t xml:space="preserve">r0365, </w:t>
      </w:r>
      <w:r w:rsidR="00DA3A5D" w:rsidRPr="005A42C4">
        <w:rPr>
          <w:rFonts w:ascii="Cambria" w:hAnsi="Cambria"/>
          <w:lang w:val="en-GB"/>
        </w:rPr>
        <w:t>r03</w:t>
      </w:r>
      <w:r w:rsidRPr="005A42C4">
        <w:rPr>
          <w:rFonts w:ascii="Cambria" w:hAnsi="Cambria"/>
          <w:lang w:val="en-GB"/>
        </w:rPr>
        <w:t xml:space="preserve">70, </w:t>
      </w:r>
      <w:r w:rsidR="00DA3A5D" w:rsidRPr="005A42C4">
        <w:rPr>
          <w:rFonts w:ascii="Cambria" w:hAnsi="Cambria"/>
          <w:lang w:val="en-GB"/>
        </w:rPr>
        <w:t>r03</w:t>
      </w:r>
      <w:r w:rsidRPr="005A42C4">
        <w:rPr>
          <w:rFonts w:ascii="Cambria" w:hAnsi="Cambria"/>
          <w:lang w:val="en-GB"/>
        </w:rPr>
        <w:t xml:space="preserve">80, </w:t>
      </w:r>
      <w:r w:rsidR="00DA3A5D" w:rsidRPr="005A42C4">
        <w:rPr>
          <w:rFonts w:ascii="Cambria" w:hAnsi="Cambria"/>
          <w:lang w:val="en-GB"/>
        </w:rPr>
        <w:t>r03</w:t>
      </w:r>
      <w:r w:rsidRPr="005A42C4">
        <w:rPr>
          <w:rFonts w:ascii="Cambria" w:hAnsi="Cambria"/>
          <w:lang w:val="en-GB"/>
        </w:rPr>
        <w:t xml:space="preserve">90 and </w:t>
      </w:r>
      <w:r w:rsidR="00DA3A5D" w:rsidRPr="005A42C4">
        <w:rPr>
          <w:rFonts w:ascii="Cambria" w:hAnsi="Cambria"/>
          <w:lang w:val="en-GB"/>
        </w:rPr>
        <w:t>r04</w:t>
      </w:r>
      <w:r w:rsidRPr="005A42C4">
        <w:rPr>
          <w:rFonts w:ascii="Cambria" w:hAnsi="Cambria"/>
          <w:lang w:val="en-GB"/>
        </w:rPr>
        <w:t>00</w:t>
      </w:r>
      <w:r w:rsidR="00F3323A" w:rsidRPr="005A42C4">
        <w:rPr>
          <w:rFonts w:ascii="Cambria" w:hAnsi="Cambria"/>
          <w:lang w:val="en-GB"/>
        </w:rPr>
        <w:t xml:space="preserve"> for the outstanding amount</w:t>
      </w:r>
      <w:r w:rsidRPr="005A42C4">
        <w:rPr>
          <w:rFonts w:ascii="Cambria" w:hAnsi="Cambria"/>
          <w:lang w:val="en-GB"/>
        </w:rPr>
        <w:t>.</w:t>
      </w:r>
      <w:r w:rsidR="00F3323A" w:rsidRPr="005A42C4">
        <w:rPr>
          <w:rFonts w:ascii="Cambria" w:hAnsi="Cambria"/>
          <w:lang w:val="en-GB"/>
        </w:rPr>
        <w:t xml:space="preserve"> For the carrying amount, it is the sum of </w:t>
      </w:r>
      <w:r w:rsidR="00DA3A5D" w:rsidRPr="005A42C4">
        <w:rPr>
          <w:rFonts w:ascii="Cambria" w:hAnsi="Cambria"/>
          <w:lang w:val="en-GB"/>
        </w:rPr>
        <w:t>r03</w:t>
      </w:r>
      <w:r w:rsidR="00F3323A" w:rsidRPr="005A42C4">
        <w:rPr>
          <w:rFonts w:ascii="Cambria" w:hAnsi="Cambria"/>
          <w:lang w:val="en-GB"/>
        </w:rPr>
        <w:t xml:space="preserve">10, </w:t>
      </w:r>
      <w:r w:rsidR="00DA3A5D" w:rsidRPr="005A42C4">
        <w:rPr>
          <w:rFonts w:ascii="Cambria" w:hAnsi="Cambria"/>
          <w:lang w:val="en-GB"/>
        </w:rPr>
        <w:t>r03</w:t>
      </w:r>
      <w:r w:rsidR="00F3323A" w:rsidRPr="005A42C4">
        <w:rPr>
          <w:rFonts w:ascii="Cambria" w:hAnsi="Cambria"/>
          <w:lang w:val="en-GB"/>
        </w:rPr>
        <w:t xml:space="preserve">20, </w:t>
      </w:r>
      <w:r w:rsidR="00DA3A5D" w:rsidRPr="005A42C4">
        <w:rPr>
          <w:rFonts w:ascii="Cambria" w:hAnsi="Cambria"/>
          <w:lang w:val="en-GB"/>
        </w:rPr>
        <w:t>r03</w:t>
      </w:r>
      <w:r w:rsidR="00F3323A" w:rsidRPr="005A42C4">
        <w:rPr>
          <w:rFonts w:ascii="Cambria" w:hAnsi="Cambria"/>
          <w:lang w:val="en-GB"/>
        </w:rPr>
        <w:t xml:space="preserve">30, </w:t>
      </w:r>
      <w:r w:rsidR="00DA3A5D" w:rsidRPr="005A42C4">
        <w:rPr>
          <w:rFonts w:ascii="Cambria" w:hAnsi="Cambria"/>
          <w:lang w:val="en-GB"/>
        </w:rPr>
        <w:t>r03</w:t>
      </w:r>
      <w:r w:rsidR="00F3323A" w:rsidRPr="005A42C4">
        <w:rPr>
          <w:rFonts w:ascii="Cambria" w:hAnsi="Cambria"/>
          <w:lang w:val="en-GB"/>
        </w:rPr>
        <w:t xml:space="preserve">40, </w:t>
      </w:r>
      <w:r w:rsidR="00DA3A5D" w:rsidRPr="005A42C4">
        <w:rPr>
          <w:rFonts w:ascii="Cambria" w:hAnsi="Cambria"/>
          <w:lang w:val="en-GB"/>
        </w:rPr>
        <w:t>r03</w:t>
      </w:r>
      <w:r w:rsidR="00F3323A" w:rsidRPr="005A42C4">
        <w:rPr>
          <w:rFonts w:ascii="Cambria" w:hAnsi="Cambria"/>
          <w:lang w:val="en-GB"/>
        </w:rPr>
        <w:t xml:space="preserve">50, </w:t>
      </w:r>
      <w:r w:rsidR="00DA3A5D" w:rsidRPr="005A42C4">
        <w:rPr>
          <w:rFonts w:ascii="Cambria" w:hAnsi="Cambria"/>
          <w:lang w:val="en-GB"/>
        </w:rPr>
        <w:t>r03</w:t>
      </w:r>
      <w:r w:rsidR="00F3323A" w:rsidRPr="005A42C4">
        <w:rPr>
          <w:rFonts w:ascii="Cambria" w:hAnsi="Cambria"/>
          <w:lang w:val="en-GB"/>
        </w:rPr>
        <w:t xml:space="preserve">60, </w:t>
      </w:r>
      <w:r w:rsidR="00E8248D">
        <w:rPr>
          <w:rFonts w:ascii="Cambria" w:hAnsi="Cambria"/>
          <w:lang w:val="en-GB"/>
        </w:rPr>
        <w:t xml:space="preserve">r0365, </w:t>
      </w:r>
      <w:r w:rsidR="00DA3A5D" w:rsidRPr="005A42C4">
        <w:rPr>
          <w:rFonts w:ascii="Cambria" w:hAnsi="Cambria"/>
          <w:lang w:val="en-GB"/>
        </w:rPr>
        <w:t>r03</w:t>
      </w:r>
      <w:r w:rsidR="00F3323A" w:rsidRPr="005A42C4">
        <w:rPr>
          <w:rFonts w:ascii="Cambria" w:hAnsi="Cambria"/>
          <w:lang w:val="en-GB"/>
        </w:rPr>
        <w:t xml:space="preserve">70, </w:t>
      </w:r>
      <w:r w:rsidR="00DA3A5D" w:rsidRPr="005A42C4">
        <w:rPr>
          <w:rFonts w:ascii="Cambria" w:hAnsi="Cambria"/>
          <w:lang w:val="en-GB"/>
        </w:rPr>
        <w:t>r03</w:t>
      </w:r>
      <w:r w:rsidR="00F3323A" w:rsidRPr="005A42C4">
        <w:rPr>
          <w:rFonts w:ascii="Cambria" w:hAnsi="Cambria"/>
          <w:lang w:val="en-GB"/>
        </w:rPr>
        <w:t xml:space="preserve">80, </w:t>
      </w:r>
      <w:r w:rsidR="00DA3A5D" w:rsidRPr="005A42C4">
        <w:rPr>
          <w:rFonts w:ascii="Cambria" w:hAnsi="Cambria"/>
          <w:lang w:val="en-GB"/>
        </w:rPr>
        <w:t>r03</w:t>
      </w:r>
      <w:r w:rsidR="00F3323A" w:rsidRPr="005A42C4">
        <w:rPr>
          <w:rFonts w:ascii="Cambria" w:hAnsi="Cambria"/>
          <w:lang w:val="en-GB"/>
        </w:rPr>
        <w:t xml:space="preserve">90 and </w:t>
      </w:r>
      <w:r w:rsidR="00DA3A5D" w:rsidRPr="005A42C4">
        <w:rPr>
          <w:rFonts w:ascii="Cambria" w:hAnsi="Cambria"/>
          <w:lang w:val="en-GB"/>
        </w:rPr>
        <w:t>r04</w:t>
      </w:r>
      <w:r w:rsidR="00F3323A" w:rsidRPr="005A42C4">
        <w:rPr>
          <w:rFonts w:ascii="Cambria" w:hAnsi="Cambria"/>
          <w:lang w:val="en-GB"/>
        </w:rPr>
        <w:t>00.</w:t>
      </w:r>
    </w:p>
    <w:p w14:paraId="71C389C9" w14:textId="5C9FCD28"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10</w:t>
      </w:r>
      <w:r w:rsidR="00E20340" w:rsidRPr="005A42C4">
        <w:rPr>
          <w:rFonts w:ascii="Cambria" w:hAnsi="Cambria"/>
          <w:lang w:val="en-GB"/>
        </w:rPr>
        <w:t xml:space="preserve"> - Deposits, not covered but preferential (BRRD art. 108)</w:t>
      </w:r>
    </w:p>
    <w:p w14:paraId="7589D994" w14:textId="77777777" w:rsidR="00E20340" w:rsidRPr="005A42C4" w:rsidRDefault="00E20340" w:rsidP="009474F1">
      <w:pPr>
        <w:rPr>
          <w:rFonts w:ascii="Cambria" w:hAnsi="Cambria"/>
          <w:lang w:val="en-GB"/>
        </w:rPr>
      </w:pPr>
      <w:r w:rsidRPr="005A42C4">
        <w:rPr>
          <w:rFonts w:ascii="Cambria" w:hAnsi="Cambria"/>
          <w:lang w:val="en-GB"/>
        </w:rPr>
        <w:t>Deposits that do not qualify for exclusion from bail-in (article 44 (2, a) of the BRRD), yet to which a preferential treatment is foreseen in line with article 108 of the BRRD.</w:t>
      </w:r>
    </w:p>
    <w:p w14:paraId="446D02D1" w14:textId="798E617A"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20 </w:t>
      </w:r>
      <w:r w:rsidR="00E20340" w:rsidRPr="005A42C4">
        <w:rPr>
          <w:rFonts w:ascii="Cambria" w:hAnsi="Cambria"/>
          <w:lang w:val="en-GB"/>
        </w:rPr>
        <w:t>- Deposits, not covered and not preferential</w:t>
      </w:r>
    </w:p>
    <w:p w14:paraId="2511F61A" w14:textId="77777777" w:rsidR="00E20340" w:rsidRPr="005A42C4" w:rsidRDefault="00E20340" w:rsidP="009474F1">
      <w:pPr>
        <w:rPr>
          <w:rFonts w:ascii="Cambria" w:hAnsi="Cambria"/>
          <w:lang w:val="en-GB"/>
        </w:rPr>
      </w:pPr>
      <w:r w:rsidRPr="005A42C4">
        <w:rPr>
          <w:rFonts w:ascii="Cambria" w:hAnsi="Cambria"/>
          <w:lang w:val="en-GB"/>
        </w:rPr>
        <w:t>Deposits</w:t>
      </w:r>
      <w:r w:rsidR="00666214" w:rsidRPr="005A42C4">
        <w:rPr>
          <w:rStyle w:val="FootnoteReference"/>
          <w:rFonts w:ascii="Cambria" w:hAnsi="Cambria"/>
          <w:lang w:val="en-GB"/>
        </w:rPr>
        <w:footnoteReference w:id="10"/>
      </w:r>
      <w:r w:rsidRPr="005A42C4">
        <w:rPr>
          <w:rFonts w:ascii="Cambria" w:hAnsi="Cambria"/>
          <w:lang w:val="en-GB"/>
        </w:rPr>
        <w:t xml:space="preserve"> that do not qualify for exclusion from bail-in or preferential treatment in application of respectively article 44 (2, a) or 108 of the BRRD.</w:t>
      </w:r>
    </w:p>
    <w:p w14:paraId="3D1B05AF" w14:textId="06A98209"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30 </w:t>
      </w:r>
      <w:r w:rsidR="00E20340" w:rsidRPr="005A42C4">
        <w:rPr>
          <w:rFonts w:ascii="Cambria" w:hAnsi="Cambria"/>
          <w:lang w:val="en-GB"/>
        </w:rPr>
        <w:t xml:space="preserve">- </w:t>
      </w:r>
      <w:r w:rsidR="0061541C" w:rsidRPr="005A42C4">
        <w:rPr>
          <w:rFonts w:ascii="Cambria" w:hAnsi="Cambria"/>
          <w:lang w:val="en-GB"/>
        </w:rPr>
        <w:t>Balance sheet l</w:t>
      </w:r>
      <w:r w:rsidR="00E20340" w:rsidRPr="005A42C4">
        <w:rPr>
          <w:rFonts w:ascii="Cambria" w:hAnsi="Cambria"/>
          <w:lang w:val="en-GB"/>
        </w:rPr>
        <w:t>iabilities arising from derivatives</w:t>
      </w:r>
    </w:p>
    <w:p w14:paraId="4C72C9C9" w14:textId="4F020F25" w:rsidR="00875D43" w:rsidRDefault="00875D43" w:rsidP="009474F1">
      <w:pPr>
        <w:rPr>
          <w:rFonts w:ascii="Cambria" w:hAnsi="Cambria"/>
          <w:lang w:val="en-GB"/>
        </w:rPr>
      </w:pPr>
      <w:r w:rsidRPr="005A42C4">
        <w:rPr>
          <w:rFonts w:ascii="Cambria" w:hAnsi="Cambria"/>
          <w:lang w:val="en-GB"/>
        </w:rPr>
        <w:t>FINREP (F01.02-020-010 + F01.02-150-010).</w:t>
      </w:r>
    </w:p>
    <w:p w14:paraId="50B5D3EE" w14:textId="04CDE93A" w:rsidR="00E20340" w:rsidRPr="005A42C4" w:rsidRDefault="00DC6577" w:rsidP="009474F1">
      <w:pPr>
        <w:rPr>
          <w:rFonts w:ascii="Cambria" w:hAnsi="Cambria"/>
          <w:lang w:val="en-GB"/>
        </w:rPr>
      </w:pPr>
      <w:r w:rsidRPr="005A42C4">
        <w:rPr>
          <w:rFonts w:ascii="Cambria" w:hAnsi="Cambria"/>
          <w:lang w:val="en-GB"/>
        </w:rPr>
        <w:t xml:space="preserve">This </w:t>
      </w:r>
      <w:r w:rsidR="00E20340" w:rsidRPr="005A42C4">
        <w:rPr>
          <w:rFonts w:ascii="Cambria" w:hAnsi="Cambria"/>
          <w:lang w:val="en-GB"/>
        </w:rPr>
        <w:t>should be completed with the accounting value of liabilities arising from derivatives, for the total amount</w:t>
      </w:r>
      <w:r w:rsidR="00C76C32" w:rsidRPr="005A42C4">
        <w:rPr>
          <w:rFonts w:ascii="Cambria" w:hAnsi="Cambria"/>
          <w:lang w:val="en-GB"/>
        </w:rPr>
        <w:t xml:space="preserve"> </w:t>
      </w:r>
      <w:r w:rsidR="00870CBA" w:rsidRPr="005A42C4">
        <w:rPr>
          <w:rFonts w:ascii="Cambria" w:hAnsi="Cambria"/>
          <w:lang w:val="en-GB"/>
        </w:rPr>
        <w:t>corresponding to</w:t>
      </w:r>
      <w:r w:rsidR="00875D43">
        <w:rPr>
          <w:rFonts w:ascii="Cambria" w:hAnsi="Cambria"/>
          <w:lang w:val="en-GB"/>
        </w:rPr>
        <w:t xml:space="preserve"> the Finrep reference above.</w:t>
      </w:r>
      <w:r w:rsidR="0055568E" w:rsidRPr="005A42C4">
        <w:rPr>
          <w:rFonts w:ascii="Cambria" w:hAnsi="Cambria"/>
          <w:lang w:val="en-GB"/>
        </w:rPr>
        <w:t xml:space="preserve"> </w:t>
      </w:r>
    </w:p>
    <w:p w14:paraId="6A9024A1" w14:textId="2FEE45EC" w:rsidR="00C76C32"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31 </w:t>
      </w:r>
      <w:r w:rsidR="00C76C32" w:rsidRPr="005A42C4">
        <w:rPr>
          <w:rFonts w:ascii="Cambria" w:hAnsi="Cambria"/>
          <w:lang w:val="en-GB"/>
        </w:rPr>
        <w:t>- Sum of net liability positions taking into account contractual netting sets, after mark-to-market adjustments, prior to collateral offset</w:t>
      </w:r>
    </w:p>
    <w:p w14:paraId="36DA2628" w14:textId="77777777" w:rsidR="00C76C32" w:rsidRPr="005A42C4" w:rsidRDefault="00E20340" w:rsidP="009474F1">
      <w:pPr>
        <w:rPr>
          <w:rFonts w:ascii="Cambria" w:hAnsi="Cambria"/>
          <w:lang w:val="en-GB"/>
        </w:rPr>
      </w:pPr>
      <w:r w:rsidRPr="005A42C4">
        <w:rPr>
          <w:rFonts w:ascii="Cambria" w:hAnsi="Cambria"/>
          <w:lang w:val="en-GB"/>
        </w:rPr>
        <w:t xml:space="preserve">A first value in this perspective, and which will determine if a netting set is to be reported, is the sum of all net market values of derivative liabilities </w:t>
      </w:r>
      <w:r w:rsidRPr="005A42C4">
        <w:rPr>
          <w:rFonts w:ascii="Cambria" w:hAnsi="Cambria"/>
          <w:b/>
          <w:lang w:val="en-GB"/>
        </w:rPr>
        <w:t>per contractual netting set</w:t>
      </w:r>
      <w:r w:rsidRPr="005A42C4">
        <w:rPr>
          <w:rFonts w:ascii="Cambria" w:hAnsi="Cambria"/>
          <w:lang w:val="en-GB"/>
        </w:rPr>
        <w:t>. Only where the net market value of a netting set is a liability, shall the netting set be reported. To this end, derivatives which are not subject to netting arrangements shall be treated as a single contract, i.e. as if it were a netting set with only one derivative.</w:t>
      </w:r>
    </w:p>
    <w:p w14:paraId="69F6950F" w14:textId="62FD407B" w:rsidR="00C76C32" w:rsidRPr="005A42C4" w:rsidRDefault="00DA3A5D" w:rsidP="009474F1">
      <w:pPr>
        <w:pStyle w:val="Heading4"/>
        <w:rPr>
          <w:rFonts w:ascii="Cambria" w:hAnsi="Cambria"/>
          <w:lang w:val="en-GB"/>
        </w:rPr>
      </w:pPr>
      <w:r w:rsidRPr="005A42C4">
        <w:rPr>
          <w:rFonts w:ascii="Cambria" w:hAnsi="Cambria"/>
          <w:lang w:val="en-GB"/>
        </w:rPr>
        <w:lastRenderedPageBreak/>
        <w:t>r03</w:t>
      </w:r>
      <w:r w:rsidR="007D50F0" w:rsidRPr="005A42C4">
        <w:rPr>
          <w:rFonts w:ascii="Cambria" w:hAnsi="Cambria"/>
          <w:lang w:val="en-GB"/>
        </w:rPr>
        <w:t xml:space="preserve">32 </w:t>
      </w:r>
      <w:r w:rsidR="00C76C32" w:rsidRPr="005A42C4">
        <w:rPr>
          <w:rFonts w:ascii="Cambria" w:hAnsi="Cambria"/>
          <w:lang w:val="en-GB"/>
        </w:rPr>
        <w:t>- Sum of net liability positions taking into account contractual netting sets, after mark-to-market adjustments, post collateral offset</w:t>
      </w:r>
    </w:p>
    <w:p w14:paraId="33C15A0F" w14:textId="289F8F0B" w:rsidR="00C76C32" w:rsidRDefault="00E20340" w:rsidP="009474F1">
      <w:pPr>
        <w:rPr>
          <w:rFonts w:ascii="Cambria" w:hAnsi="Cambria"/>
          <w:lang w:val="en-GB"/>
        </w:rPr>
      </w:pPr>
      <w:r w:rsidRPr="005A42C4">
        <w:rPr>
          <w:rFonts w:ascii="Cambria" w:hAnsi="Cambria"/>
          <w:lang w:val="en-GB"/>
        </w:rPr>
        <w:t>Th</w:t>
      </w:r>
      <w:r w:rsidR="00C76C32" w:rsidRPr="005A42C4">
        <w:rPr>
          <w:rFonts w:ascii="Cambria" w:hAnsi="Cambria"/>
          <w:lang w:val="en-GB"/>
        </w:rPr>
        <w:t>e</w:t>
      </w:r>
      <w:r w:rsidRPr="005A42C4">
        <w:rPr>
          <w:rFonts w:ascii="Cambria" w:hAnsi="Cambria"/>
          <w:lang w:val="en-GB"/>
        </w:rPr>
        <w:t xml:space="preserve"> valuation </w:t>
      </w:r>
      <w:r w:rsidR="00C76C32" w:rsidRPr="005A42C4">
        <w:rPr>
          <w:rFonts w:ascii="Cambria" w:hAnsi="Cambria"/>
          <w:lang w:val="en-GB"/>
        </w:rPr>
        <w:t xml:space="preserve">in line </w:t>
      </w:r>
      <w:r w:rsidR="00DA3A5D" w:rsidRPr="005A42C4">
        <w:rPr>
          <w:rFonts w:ascii="Cambria" w:hAnsi="Cambria"/>
          <w:lang w:val="en-GB"/>
        </w:rPr>
        <w:t>r03</w:t>
      </w:r>
      <w:r w:rsidR="00471BA2" w:rsidRPr="005A42C4">
        <w:rPr>
          <w:rFonts w:ascii="Cambria" w:hAnsi="Cambria"/>
          <w:lang w:val="en-GB"/>
        </w:rPr>
        <w:t>31</w:t>
      </w:r>
      <w:r w:rsidR="00C76C32" w:rsidRPr="005A42C4">
        <w:rPr>
          <w:rFonts w:ascii="Cambria" w:hAnsi="Cambria"/>
          <w:lang w:val="en-GB"/>
        </w:rPr>
        <w:t xml:space="preserve"> is</w:t>
      </w:r>
      <w:r w:rsidRPr="005A42C4">
        <w:rPr>
          <w:rFonts w:ascii="Cambria" w:hAnsi="Cambria"/>
          <w:lang w:val="en-GB"/>
        </w:rPr>
        <w:t xml:space="preserve"> subject to an adjustment for collateral posted to secure this exposure, which results in the sum of these net market values after offsetting collateral at its market value.</w:t>
      </w:r>
      <w:r w:rsidR="00D3092F">
        <w:rPr>
          <w:rFonts w:ascii="Cambria" w:hAnsi="Cambria"/>
          <w:lang w:val="en-GB"/>
        </w:rPr>
        <w:t xml:space="preserve"> Only those contractual netting sets for which the liability position after mark-to-market adjustments and post collateral offset is a positive amount should be reported in this line</w:t>
      </w:r>
      <w:r w:rsidR="00B04FEB">
        <w:rPr>
          <w:rFonts w:ascii="Cambria" w:hAnsi="Cambria"/>
          <w:lang w:val="en-GB"/>
        </w:rPr>
        <w:t xml:space="preserve"> (i.e. only when </w:t>
      </w:r>
      <w:r w:rsidR="00B04FEB" w:rsidRPr="00B04FEB">
        <w:rPr>
          <w:rFonts w:ascii="Cambria" w:hAnsi="Cambria"/>
          <w:lang w:val="en-GB"/>
        </w:rPr>
        <w:t>Net Mark-to-Market Value</w:t>
      </w:r>
      <w:r w:rsidR="00B04FEB">
        <w:rPr>
          <w:rFonts w:ascii="Cambria" w:hAnsi="Cambria"/>
          <w:lang w:val="en-GB"/>
        </w:rPr>
        <w:t xml:space="preserve"> (c0120 of T07.00) is higher than </w:t>
      </w:r>
      <w:r w:rsidR="00B04FEB" w:rsidRPr="00B04FEB">
        <w:rPr>
          <w:rFonts w:ascii="Cambria" w:hAnsi="Cambria"/>
          <w:lang w:val="en-GB"/>
        </w:rPr>
        <w:t>Value of Net Collateral Posted</w:t>
      </w:r>
      <w:r w:rsidR="00B04FEB">
        <w:rPr>
          <w:rFonts w:ascii="Cambria" w:hAnsi="Cambria"/>
          <w:lang w:val="en-GB"/>
        </w:rPr>
        <w:t xml:space="preserve"> (c0130 of T07.00))</w:t>
      </w:r>
      <w:r w:rsidR="00D3092F">
        <w:rPr>
          <w:rFonts w:ascii="Cambria" w:hAnsi="Cambria"/>
          <w:lang w:val="en-GB"/>
        </w:rPr>
        <w:t>.</w:t>
      </w:r>
    </w:p>
    <w:p w14:paraId="7A4EF1CC" w14:textId="77777777" w:rsidR="00D3092F" w:rsidRPr="005A42C4" w:rsidRDefault="00D3092F" w:rsidP="009474F1">
      <w:pPr>
        <w:rPr>
          <w:rFonts w:ascii="Cambria" w:hAnsi="Cambria"/>
          <w:lang w:val="en-GB"/>
        </w:rPr>
      </w:pPr>
    </w:p>
    <w:p w14:paraId="1BA8C3B9" w14:textId="0C3F631B" w:rsidR="00C76C32"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33 </w:t>
      </w:r>
      <w:r w:rsidR="00C76C32" w:rsidRPr="005A42C4">
        <w:rPr>
          <w:rFonts w:ascii="Cambria" w:hAnsi="Cambria"/>
          <w:lang w:val="en-GB"/>
        </w:rPr>
        <w:t>- Sum of net liability positions taking into account contractual netting sets, after mark-to-market adjustments, post collateral offset, incorporating estimated close-out amounts</w:t>
      </w:r>
    </w:p>
    <w:p w14:paraId="3469549E" w14:textId="76C9A892" w:rsidR="00E20340" w:rsidRPr="005A42C4" w:rsidRDefault="00E20340" w:rsidP="009474F1">
      <w:pPr>
        <w:rPr>
          <w:rFonts w:ascii="Cambria" w:hAnsi="Cambria"/>
          <w:lang w:val="en-GB"/>
        </w:rPr>
      </w:pPr>
      <w:r w:rsidRPr="005A42C4">
        <w:rPr>
          <w:rFonts w:ascii="Cambria" w:hAnsi="Cambria"/>
          <w:lang w:val="en-GB"/>
        </w:rPr>
        <w:t xml:space="preserve">In line with the </w:t>
      </w:r>
      <w:r w:rsidR="00027F0A" w:rsidRPr="005A42C4">
        <w:rPr>
          <w:rFonts w:ascii="Cambria" w:hAnsi="Cambria"/>
          <w:lang w:val="en-GB"/>
        </w:rPr>
        <w:t xml:space="preserve">Delegated Regulation (EU) 2016/1401 of 23 May 2016 </w:t>
      </w:r>
      <w:r w:rsidRPr="005A42C4">
        <w:rPr>
          <w:rFonts w:ascii="Cambria" w:hAnsi="Cambria"/>
          <w:lang w:val="en-GB"/>
        </w:rPr>
        <w:t>on the valuation of derivatives pursuant to Article 49 (4) of the BRRD, an additional close-out amount covering the amount of losses or costs incurred by derivative counterparties, or gains realised by them, in replacing or obtaining the economic equivalent on material terms of the contracts and the option rights of the parties in respect of</w:t>
      </w:r>
      <w:r w:rsidR="00C76C32" w:rsidRPr="005A42C4">
        <w:rPr>
          <w:rFonts w:ascii="Cambria" w:hAnsi="Cambria"/>
          <w:lang w:val="en-GB"/>
        </w:rPr>
        <w:t xml:space="preserve"> the terminated contracts</w:t>
      </w:r>
      <w:r w:rsidRPr="005A42C4">
        <w:rPr>
          <w:rFonts w:ascii="Cambria" w:hAnsi="Cambria"/>
          <w:lang w:val="en-GB"/>
        </w:rPr>
        <w:t>.</w:t>
      </w:r>
      <w:r w:rsidR="00C76C32" w:rsidRPr="005A42C4">
        <w:rPr>
          <w:rFonts w:ascii="Cambria" w:hAnsi="Cambria"/>
          <w:lang w:val="en-GB"/>
        </w:rPr>
        <w:t xml:space="preserve"> T</w:t>
      </w:r>
      <w:r w:rsidRPr="005A42C4">
        <w:rPr>
          <w:rFonts w:ascii="Cambria" w:hAnsi="Cambria"/>
          <w:lang w:val="en-GB"/>
        </w:rPr>
        <w:t xml:space="preserve">he estimations required to determine a close-out amount in line with the </w:t>
      </w:r>
      <w:r w:rsidR="00027F0A" w:rsidRPr="005A42C4">
        <w:rPr>
          <w:rFonts w:ascii="Cambria" w:hAnsi="Cambria"/>
          <w:lang w:val="en-GB"/>
        </w:rPr>
        <w:t>Delegated Regulation</w:t>
      </w:r>
      <w:r w:rsidRPr="005A42C4">
        <w:rPr>
          <w:rFonts w:ascii="Cambria" w:hAnsi="Cambria"/>
          <w:lang w:val="en-GB"/>
        </w:rPr>
        <w:t xml:space="preserve"> could prove quite difficult on an individual basis. Therefore, proxy values, which may be based on available data such as the prudential requirements for market risk, could be used instead.</w:t>
      </w:r>
      <w:r w:rsidR="00F36239" w:rsidRPr="005A42C4">
        <w:rPr>
          <w:rFonts w:ascii="Cambria" w:hAnsi="Cambria"/>
          <w:lang w:val="en-GB"/>
        </w:rPr>
        <w:t xml:space="preserve"> Should it prove impossible for the entity to calculate the close-out amount for the derivative liabilities, the amount reported should be equal to the amount reported in line </w:t>
      </w:r>
      <w:r w:rsidR="00DA3A5D" w:rsidRPr="005A42C4">
        <w:rPr>
          <w:rFonts w:ascii="Cambria" w:hAnsi="Cambria"/>
          <w:lang w:val="en-GB"/>
        </w:rPr>
        <w:t>r03</w:t>
      </w:r>
      <w:r w:rsidR="00471BA2" w:rsidRPr="005A42C4">
        <w:rPr>
          <w:rFonts w:ascii="Cambria" w:hAnsi="Cambria"/>
          <w:lang w:val="en-GB"/>
        </w:rPr>
        <w:t>32</w:t>
      </w:r>
      <w:r w:rsidR="00F36239" w:rsidRPr="005A42C4">
        <w:rPr>
          <w:rFonts w:ascii="Cambria" w:hAnsi="Cambria"/>
          <w:lang w:val="en-GB"/>
        </w:rPr>
        <w:t>.</w:t>
      </w:r>
      <w:r w:rsidR="00D3092F">
        <w:rPr>
          <w:rFonts w:ascii="Cambria" w:hAnsi="Cambria"/>
          <w:lang w:val="en-GB"/>
        </w:rPr>
        <w:t xml:space="preserve"> Only those contractual netting sets for which the liability position after mark-to-market adjustments, post collateral offset and </w:t>
      </w:r>
      <w:r w:rsidR="00D3092F" w:rsidRPr="00D3092F">
        <w:rPr>
          <w:rFonts w:ascii="Cambria" w:hAnsi="Cambria"/>
          <w:lang w:val="en-GB"/>
        </w:rPr>
        <w:t>incorporating estimated close-out amounts</w:t>
      </w:r>
      <w:r w:rsidR="00D3092F">
        <w:rPr>
          <w:rFonts w:ascii="Cambria" w:hAnsi="Cambria"/>
          <w:lang w:val="en-GB"/>
        </w:rPr>
        <w:t xml:space="preserve"> is a positive amount should be reported in this line</w:t>
      </w:r>
      <w:r w:rsidR="00B04FEB">
        <w:rPr>
          <w:rFonts w:ascii="Cambria" w:hAnsi="Cambria"/>
          <w:lang w:val="en-GB"/>
        </w:rPr>
        <w:t xml:space="preserve"> (i.e. only when </w:t>
      </w:r>
      <w:r w:rsidR="00B04FEB" w:rsidRPr="00B04FEB">
        <w:rPr>
          <w:rFonts w:ascii="Cambria" w:hAnsi="Cambria"/>
          <w:lang w:val="en-GB"/>
        </w:rPr>
        <w:t>Estimated Early Termination Amount</w:t>
      </w:r>
      <w:r w:rsidR="00B04FEB">
        <w:rPr>
          <w:rFonts w:ascii="Cambria" w:hAnsi="Cambria"/>
          <w:lang w:val="en-GB"/>
        </w:rPr>
        <w:t xml:space="preserve"> (c0150 of T07.00) is positive)</w:t>
      </w:r>
      <w:r w:rsidR="00D3092F">
        <w:rPr>
          <w:rFonts w:ascii="Cambria" w:hAnsi="Cambria"/>
          <w:lang w:val="en-GB"/>
        </w:rPr>
        <w:t>.</w:t>
      </w:r>
    </w:p>
    <w:p w14:paraId="47E00505" w14:textId="3154D7DC" w:rsidR="00C76C32"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34 </w:t>
      </w:r>
      <w:r w:rsidR="00C76C32" w:rsidRPr="005A42C4">
        <w:rPr>
          <w:rFonts w:ascii="Cambria" w:hAnsi="Cambria"/>
          <w:lang w:val="en-GB"/>
        </w:rPr>
        <w:t>- Sum of net liability positions taking into account prudential netting rules</w:t>
      </w:r>
    </w:p>
    <w:p w14:paraId="782D5F90" w14:textId="1E5C7077" w:rsidR="00C76C32" w:rsidRPr="005A42C4" w:rsidRDefault="00F36239" w:rsidP="009474F1">
      <w:pPr>
        <w:rPr>
          <w:rFonts w:ascii="Cambria" w:hAnsi="Cambria"/>
          <w:lang w:val="en-GB"/>
        </w:rPr>
      </w:pPr>
      <w:r w:rsidRPr="005A42C4">
        <w:rPr>
          <w:rFonts w:ascii="Cambria" w:hAnsi="Cambria"/>
          <w:lang w:val="en-GB"/>
        </w:rPr>
        <w:t>The net liability positions for derivatives tak</w:t>
      </w:r>
      <w:r w:rsidR="00DC6577" w:rsidRPr="005A42C4">
        <w:rPr>
          <w:rFonts w:ascii="Cambria" w:hAnsi="Cambria"/>
          <w:lang w:val="en-GB"/>
        </w:rPr>
        <w:t>ing</w:t>
      </w:r>
      <w:r w:rsidRPr="005A42C4">
        <w:rPr>
          <w:rFonts w:ascii="Cambria" w:hAnsi="Cambria"/>
          <w:lang w:val="en-GB"/>
        </w:rPr>
        <w:t xml:space="preserve"> into account prudential netting rules shall be reported in line with the prudential netting rules as described in art. 429 of the CRR related to the calculation of the leverage exposure.</w:t>
      </w:r>
      <w:r w:rsidR="002063B4">
        <w:rPr>
          <w:rFonts w:ascii="Cambria" w:hAnsi="Cambria"/>
          <w:lang w:val="en-GB"/>
        </w:rPr>
        <w:t xml:space="preserve"> </w:t>
      </w:r>
      <w:r w:rsidR="002063B4" w:rsidRPr="002063B4">
        <w:rPr>
          <w:rFonts w:ascii="Cambria" w:hAnsi="Cambria"/>
          <w:lang w:val="en-GB"/>
        </w:rPr>
        <w:t>The prudential netting required under T01.00-r334 should take into account the effects of contracts for novation and other netting agreements, except contractual cross-product netting agreements.</w:t>
      </w:r>
    </w:p>
    <w:p w14:paraId="7FB813D7" w14:textId="0D275DCB"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40</w:t>
      </w:r>
      <w:r w:rsidR="00E20340" w:rsidRPr="005A42C4">
        <w:rPr>
          <w:rFonts w:ascii="Cambria" w:hAnsi="Cambria"/>
          <w:lang w:val="en-GB"/>
        </w:rPr>
        <w:t xml:space="preserve"> </w:t>
      </w:r>
      <w:r w:rsidR="002951DF" w:rsidRPr="005A42C4">
        <w:rPr>
          <w:rFonts w:ascii="Cambria" w:hAnsi="Cambria"/>
          <w:lang w:val="en-GB"/>
        </w:rPr>
        <w:t>-</w:t>
      </w:r>
      <w:r w:rsidR="00E20340" w:rsidRPr="005A42C4">
        <w:rPr>
          <w:rFonts w:ascii="Cambria" w:hAnsi="Cambria"/>
          <w:lang w:val="en-GB"/>
        </w:rPr>
        <w:t xml:space="preserve"> Uncollateralised secured liabilities</w:t>
      </w:r>
    </w:p>
    <w:p w14:paraId="53DE1B1C" w14:textId="77777777" w:rsidR="00E20340" w:rsidRPr="005A42C4" w:rsidRDefault="00E20340" w:rsidP="009474F1">
      <w:pPr>
        <w:rPr>
          <w:rFonts w:ascii="Cambria" w:hAnsi="Cambria"/>
          <w:lang w:val="en-GB"/>
        </w:rPr>
      </w:pPr>
      <w:r w:rsidRPr="005A42C4">
        <w:rPr>
          <w:rFonts w:ascii="Cambria" w:hAnsi="Cambria"/>
          <w:lang w:val="en-GB"/>
        </w:rPr>
        <w:t>The amount of secured liabilities or liabilities for which collateral has been pledged that exceeds the value of the assets, pledge, lien or collateral against which it is secured. This would thus capture the 'under-collateralized' part of any collateralized liability such as covered bonds or repurchase operations.</w:t>
      </w:r>
    </w:p>
    <w:p w14:paraId="0AC2F2B1" w14:textId="3A45F4A9"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50 </w:t>
      </w:r>
      <w:r w:rsidR="00E20340" w:rsidRPr="005A42C4">
        <w:rPr>
          <w:rFonts w:ascii="Cambria" w:hAnsi="Cambria"/>
          <w:lang w:val="en-GB"/>
        </w:rPr>
        <w:t>- Structured notes</w:t>
      </w:r>
    </w:p>
    <w:p w14:paraId="73E52AE4" w14:textId="77777777" w:rsidR="00E20340" w:rsidRPr="005A42C4" w:rsidRDefault="00E20340" w:rsidP="009474F1">
      <w:pPr>
        <w:rPr>
          <w:rFonts w:ascii="Cambria" w:hAnsi="Cambria"/>
          <w:lang w:val="en-GB"/>
        </w:rPr>
      </w:pPr>
      <w:r w:rsidRPr="005A42C4">
        <w:rPr>
          <w:rFonts w:ascii="Cambria" w:hAnsi="Cambria"/>
          <w:lang w:val="en-GB"/>
        </w:rPr>
        <w:t>Structured notes are defined, in line with the "Instructions for Basel III monitoring" issued by the BCBS, as debt obligations that contain an embedded derivative component, with returns linked to an underlying security or index (public or bespoke, such as equities or bonds, fixed income rates or credit, FX, commodities etc.). Structured notes do not include debt instruments that include call or put options only, i.e. the value of the instrument does not depend on any embedded derivative component.</w:t>
      </w:r>
    </w:p>
    <w:p w14:paraId="39AB6EAE" w14:textId="77777777" w:rsidR="00115A34" w:rsidRPr="005A42C4" w:rsidRDefault="00115A34" w:rsidP="009474F1">
      <w:pPr>
        <w:rPr>
          <w:rFonts w:ascii="Cambria" w:hAnsi="Cambria"/>
          <w:lang w:val="en-GB"/>
        </w:rPr>
      </w:pPr>
      <w:r w:rsidRPr="005A42C4">
        <w:rPr>
          <w:rFonts w:ascii="Cambria" w:hAnsi="Cambria"/>
          <w:lang w:val="en-GB"/>
        </w:rPr>
        <w:t>Structured notes shall be reported for their full outstanding amount in this single reporting line.</w:t>
      </w:r>
    </w:p>
    <w:p w14:paraId="00C1DAD0" w14:textId="28C7CEEA"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60 </w:t>
      </w:r>
      <w:r w:rsidR="00E20340" w:rsidRPr="005A42C4">
        <w:rPr>
          <w:rFonts w:ascii="Cambria" w:hAnsi="Cambria"/>
          <w:lang w:val="en-GB"/>
        </w:rPr>
        <w:t>- Senior unsecured liabilities</w:t>
      </w:r>
    </w:p>
    <w:p w14:paraId="27F4099F" w14:textId="77777777" w:rsidR="00E20340" w:rsidRPr="005A42C4" w:rsidRDefault="00E20340" w:rsidP="009474F1">
      <w:pPr>
        <w:rPr>
          <w:rFonts w:ascii="Cambria" w:hAnsi="Cambria"/>
          <w:lang w:val="en-GB"/>
        </w:rPr>
      </w:pPr>
      <w:r w:rsidRPr="005A42C4">
        <w:rPr>
          <w:rFonts w:ascii="Cambria" w:hAnsi="Cambria"/>
          <w:lang w:val="en-GB"/>
        </w:rPr>
        <w:t>Should include all senior, unsecured instruments that are not included in the structured notes category.</w:t>
      </w:r>
    </w:p>
    <w:p w14:paraId="15404E17" w14:textId="477CE94A" w:rsidR="00067F2F" w:rsidRPr="005A42C4" w:rsidRDefault="00067F2F" w:rsidP="009474F1">
      <w:pPr>
        <w:rPr>
          <w:rFonts w:ascii="Cambria" w:hAnsi="Cambria"/>
          <w:lang w:val="en-GB"/>
        </w:rPr>
      </w:pPr>
      <w:r w:rsidRPr="005A42C4">
        <w:rPr>
          <w:rFonts w:ascii="Cambria" w:eastAsiaTheme="majorEastAsia" w:hAnsi="Cambria" w:cstheme="majorBidi"/>
          <w:i/>
          <w:iCs/>
          <w:color w:val="2E74B5" w:themeColor="accent1" w:themeShade="BF"/>
          <w:lang w:val="en-GB"/>
        </w:rPr>
        <w:t>r0</w:t>
      </w:r>
      <w:r w:rsidR="00AF0E0E">
        <w:rPr>
          <w:rFonts w:ascii="Cambria" w:eastAsiaTheme="majorEastAsia" w:hAnsi="Cambria" w:cstheme="majorBidi"/>
          <w:i/>
          <w:iCs/>
          <w:color w:val="2E74B5" w:themeColor="accent1" w:themeShade="BF"/>
          <w:lang w:val="en-GB"/>
        </w:rPr>
        <w:t>3</w:t>
      </w:r>
      <w:r w:rsidRPr="005A42C4">
        <w:rPr>
          <w:rFonts w:ascii="Cambria" w:eastAsiaTheme="majorEastAsia" w:hAnsi="Cambria" w:cstheme="majorBidi"/>
          <w:i/>
          <w:iCs/>
          <w:color w:val="2E74B5" w:themeColor="accent1" w:themeShade="BF"/>
          <w:lang w:val="en-GB"/>
        </w:rPr>
        <w:t>65 – Senior non-preferred liabilities</w:t>
      </w:r>
    </w:p>
    <w:p w14:paraId="6ADCEB53" w14:textId="77777777" w:rsidR="00067F2F" w:rsidRPr="005A42C4" w:rsidRDefault="00067F2F" w:rsidP="00067F2F">
      <w:pPr>
        <w:rPr>
          <w:rFonts w:ascii="Cambria" w:hAnsi="Cambria"/>
          <w:szCs w:val="20"/>
          <w:lang w:val="en-GB"/>
        </w:rPr>
      </w:pPr>
      <w:r w:rsidRPr="005A42C4">
        <w:rPr>
          <w:rFonts w:ascii="Cambria" w:hAnsi="Cambria"/>
          <w:lang w:val="en-GB"/>
        </w:rPr>
        <w:t>Amount of any of the following liabilities:</w:t>
      </w:r>
    </w:p>
    <w:p w14:paraId="383CC4CB" w14:textId="154EE9F1" w:rsidR="00067F2F" w:rsidRPr="005A42C4" w:rsidRDefault="00067F2F" w:rsidP="005A42C4">
      <w:pPr>
        <w:pStyle w:val="ListParagraph"/>
        <w:numPr>
          <w:ilvl w:val="1"/>
          <w:numId w:val="19"/>
        </w:numPr>
        <w:ind w:left="567" w:hanging="284"/>
        <w:rPr>
          <w:szCs w:val="20"/>
          <w:lang w:val="en-GB"/>
        </w:rPr>
      </w:pPr>
      <w:r w:rsidRPr="005A42C4">
        <w:rPr>
          <w:sz w:val="20"/>
          <w:szCs w:val="20"/>
          <w:lang w:val="en-GB"/>
        </w:rPr>
        <w:t xml:space="preserve">Unsecured claims resulting from debt instruments that meet the conditions laid down in points (a), (b) and (c) of paragraph 2 and of paragraph 3 of Article 108 of Directive 2014/59/EU; </w:t>
      </w:r>
    </w:p>
    <w:p w14:paraId="0E56710C" w14:textId="4EE093C0" w:rsidR="00067F2F" w:rsidRPr="005A42C4" w:rsidRDefault="00067F2F" w:rsidP="005A42C4">
      <w:pPr>
        <w:pStyle w:val="ListParagraph"/>
        <w:numPr>
          <w:ilvl w:val="1"/>
          <w:numId w:val="19"/>
        </w:numPr>
        <w:ind w:left="567" w:hanging="284"/>
        <w:rPr>
          <w:szCs w:val="20"/>
          <w:lang w:val="en-GB"/>
        </w:rPr>
      </w:pPr>
      <w:r w:rsidRPr="005A42C4">
        <w:rPr>
          <w:sz w:val="20"/>
          <w:szCs w:val="20"/>
          <w:lang w:val="en-GB"/>
        </w:rPr>
        <w:t>Unsecured claims resulting from debt instruments referred to in point (b) of the first subparagraph of Article 108(5) of Directive 2014/59/EU; or</w:t>
      </w:r>
    </w:p>
    <w:p w14:paraId="71CF9752" w14:textId="33F1D212" w:rsidR="00067F2F" w:rsidRPr="005A42C4" w:rsidRDefault="00067F2F" w:rsidP="005A42C4">
      <w:pPr>
        <w:pStyle w:val="ListParagraph"/>
        <w:numPr>
          <w:ilvl w:val="1"/>
          <w:numId w:val="19"/>
        </w:numPr>
        <w:ind w:left="567" w:hanging="284"/>
        <w:rPr>
          <w:szCs w:val="20"/>
          <w:lang w:val="en-GB"/>
        </w:rPr>
      </w:pPr>
      <w:r w:rsidRPr="005A42C4">
        <w:rPr>
          <w:sz w:val="20"/>
          <w:szCs w:val="20"/>
          <w:lang w:val="en-GB"/>
        </w:rPr>
        <w:lastRenderedPageBreak/>
        <w:t>Debt instruments with the lowest priority ranking among the ordinary unsecured claims resulting from debt instruments referred to in Article 108(7) of Directive 2014/59/EU, for which a Member State has provided, in accordance with that paragraph, that they have the same ranking as that of claims that meet the conditions of points (a), (b) and (c) of paragraph 2 and of paragraph 3 of Article 108 of Directive 2014/59/EU.</w:t>
      </w:r>
    </w:p>
    <w:p w14:paraId="5821EB1C" w14:textId="1459A07B"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70 </w:t>
      </w:r>
      <w:r w:rsidR="00E20340" w:rsidRPr="005A42C4">
        <w:rPr>
          <w:rFonts w:ascii="Cambria" w:hAnsi="Cambria"/>
          <w:lang w:val="en-GB"/>
        </w:rPr>
        <w:t>- Subordinated liabilities</w:t>
      </w:r>
    </w:p>
    <w:p w14:paraId="2845680E" w14:textId="77777777" w:rsidR="00E20340" w:rsidRPr="005A42C4" w:rsidRDefault="00E20340" w:rsidP="009474F1">
      <w:pPr>
        <w:rPr>
          <w:rFonts w:ascii="Cambria" w:hAnsi="Cambria"/>
          <w:lang w:val="en-GB"/>
        </w:rPr>
      </w:pPr>
      <w:r w:rsidRPr="005A42C4">
        <w:rPr>
          <w:rFonts w:ascii="Cambria" w:hAnsi="Cambria"/>
          <w:lang w:val="en-GB"/>
        </w:rPr>
        <w:t>In general, subordination covers liabilities which will only be repaid under national insolvency law after all classes of ordinary creditors have been repaid in full. This includes both contractually or statutor</w:t>
      </w:r>
      <w:r w:rsidR="00E62E61" w:rsidRPr="005A42C4">
        <w:rPr>
          <w:rFonts w:ascii="Cambria" w:hAnsi="Cambria"/>
          <w:lang w:val="en-GB"/>
        </w:rPr>
        <w:t>il</w:t>
      </w:r>
      <w:r w:rsidRPr="005A42C4">
        <w:rPr>
          <w:rFonts w:ascii="Cambria" w:hAnsi="Cambria"/>
          <w:lang w:val="en-GB"/>
        </w:rPr>
        <w:t>y subordinated liabilities. In the case of holding companies, unsubordinated debt securities may also be reported in this category (i.e. structural subordination).</w:t>
      </w:r>
    </w:p>
    <w:p w14:paraId="09B598D6" w14:textId="1BC17B7D" w:rsidR="00E20340" w:rsidRPr="005A42C4" w:rsidRDefault="00E20340" w:rsidP="009474F1">
      <w:pPr>
        <w:rPr>
          <w:rFonts w:ascii="Cambria" w:hAnsi="Cambria"/>
          <w:lang w:val="en-GB"/>
        </w:rPr>
      </w:pPr>
      <w:r w:rsidRPr="005A42C4">
        <w:rPr>
          <w:rFonts w:ascii="Cambria" w:hAnsi="Cambria"/>
          <w:lang w:val="en-GB"/>
        </w:rPr>
        <w:t xml:space="preserve">Subordinated instruments that are not at all recognized in own funds should be included </w:t>
      </w:r>
      <w:r w:rsidR="006273B4" w:rsidRPr="005A42C4">
        <w:rPr>
          <w:rFonts w:ascii="Cambria" w:hAnsi="Cambria"/>
          <w:lang w:val="en-GB"/>
        </w:rPr>
        <w:t xml:space="preserve">in full </w:t>
      </w:r>
      <w:r w:rsidRPr="005A42C4">
        <w:rPr>
          <w:rFonts w:ascii="Cambria" w:hAnsi="Cambria"/>
          <w:lang w:val="en-GB"/>
        </w:rPr>
        <w:t>in this category. Finally, to allow for a reconciliation of the total amounts of liabilities, this line should also include subordinated liabilities qualifying as own funds, for the part which is not included in own funds due to the phase-out thereof (due to its remaining maturity or grandfathering impact). As an example, a Tier 2 instrument with a remaining maturity of 3 years at the reporting date should be included for 3/5 of the outstanding amount into Tier 2 capital</w:t>
      </w:r>
      <w:r w:rsidR="006273B4" w:rsidRPr="005A42C4">
        <w:rPr>
          <w:rFonts w:ascii="Cambria" w:hAnsi="Cambria"/>
          <w:lang w:val="en-GB"/>
        </w:rPr>
        <w:t xml:space="preserve"> (</w:t>
      </w:r>
      <w:r w:rsidR="00DA3A5D" w:rsidRPr="005A42C4">
        <w:rPr>
          <w:rFonts w:ascii="Cambria" w:hAnsi="Cambria"/>
          <w:lang w:val="en-GB"/>
        </w:rPr>
        <w:t>r05</w:t>
      </w:r>
      <w:r w:rsidR="006273B4" w:rsidRPr="005A42C4">
        <w:rPr>
          <w:rFonts w:ascii="Cambria" w:hAnsi="Cambria"/>
          <w:lang w:val="en-GB"/>
        </w:rPr>
        <w:t>31)</w:t>
      </w:r>
      <w:r w:rsidRPr="005A42C4">
        <w:rPr>
          <w:rFonts w:ascii="Cambria" w:hAnsi="Cambria"/>
          <w:lang w:val="en-GB"/>
        </w:rPr>
        <w:t xml:space="preserve"> in accordance with article 64 of the CRR. The remaining 2/5 would be reported under subordinated liabilities</w:t>
      </w:r>
      <w:r w:rsidR="006273B4" w:rsidRPr="005A42C4">
        <w:rPr>
          <w:rFonts w:ascii="Cambria" w:hAnsi="Cambria"/>
          <w:lang w:val="en-GB"/>
        </w:rPr>
        <w:t xml:space="preserve"> (</w:t>
      </w:r>
      <w:r w:rsidR="00DA3A5D" w:rsidRPr="005A42C4">
        <w:rPr>
          <w:rFonts w:ascii="Cambria" w:hAnsi="Cambria"/>
          <w:lang w:val="en-GB"/>
        </w:rPr>
        <w:t>r03</w:t>
      </w:r>
      <w:r w:rsidR="006273B4" w:rsidRPr="005A42C4">
        <w:rPr>
          <w:rFonts w:ascii="Cambria" w:hAnsi="Cambria"/>
          <w:lang w:val="en-GB"/>
        </w:rPr>
        <w:t>70)</w:t>
      </w:r>
      <w:r w:rsidRPr="005A42C4">
        <w:rPr>
          <w:rFonts w:ascii="Cambria" w:hAnsi="Cambria"/>
          <w:lang w:val="en-GB"/>
        </w:rPr>
        <w:t>.</w:t>
      </w:r>
    </w:p>
    <w:p w14:paraId="16B5029E" w14:textId="68AB303E"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80 </w:t>
      </w:r>
      <w:r w:rsidR="002951DF" w:rsidRPr="005A42C4">
        <w:rPr>
          <w:rFonts w:ascii="Cambria" w:hAnsi="Cambria"/>
          <w:lang w:val="en-GB"/>
        </w:rPr>
        <w:t>-</w:t>
      </w:r>
      <w:r w:rsidR="00E20340" w:rsidRPr="005A42C4">
        <w:rPr>
          <w:rFonts w:ascii="Cambria" w:hAnsi="Cambria"/>
          <w:lang w:val="en-GB"/>
        </w:rPr>
        <w:t xml:space="preserve"> Other MREL eligible liabilities</w:t>
      </w:r>
    </w:p>
    <w:p w14:paraId="393215B4" w14:textId="77777777" w:rsidR="00E20340" w:rsidRPr="005A42C4" w:rsidRDefault="00E20340" w:rsidP="009474F1">
      <w:pPr>
        <w:rPr>
          <w:rFonts w:ascii="Cambria" w:hAnsi="Cambria"/>
          <w:lang w:val="en-GB"/>
        </w:rPr>
      </w:pPr>
      <w:r w:rsidRPr="005A42C4">
        <w:rPr>
          <w:rFonts w:ascii="Cambria" w:hAnsi="Cambria"/>
          <w:lang w:val="en-GB"/>
        </w:rPr>
        <w:t>Any instrument that could qualify as MREL, yet which is not captured by any of the preceding line-items, should be reported under this category.</w:t>
      </w:r>
      <w:r w:rsidR="00A32783" w:rsidRPr="005A42C4">
        <w:rPr>
          <w:rFonts w:ascii="Cambria" w:hAnsi="Cambria"/>
          <w:lang w:val="en-GB"/>
        </w:rPr>
        <w:t xml:space="preserve"> As such this is a residual category for MREL purposes with minimal usage and which should be assessed on a case-by-case basis.</w:t>
      </w:r>
    </w:p>
    <w:p w14:paraId="51777DF8" w14:textId="0A669F75" w:rsidR="00E20340"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 xml:space="preserve">90 </w:t>
      </w:r>
      <w:r w:rsidR="002951DF" w:rsidRPr="005A42C4">
        <w:rPr>
          <w:rFonts w:ascii="Cambria" w:hAnsi="Cambria"/>
          <w:lang w:val="en-GB"/>
        </w:rPr>
        <w:t>-</w:t>
      </w:r>
      <w:r w:rsidR="00E20340" w:rsidRPr="005A42C4">
        <w:rPr>
          <w:rFonts w:ascii="Cambria" w:hAnsi="Cambria"/>
          <w:lang w:val="en-GB"/>
        </w:rPr>
        <w:t xml:space="preserve"> Non-financial liabilities</w:t>
      </w:r>
    </w:p>
    <w:p w14:paraId="70287C4A" w14:textId="77777777" w:rsidR="00E20340" w:rsidRPr="005A42C4" w:rsidRDefault="00E20340" w:rsidP="009474F1">
      <w:pPr>
        <w:rPr>
          <w:rFonts w:ascii="Cambria" w:hAnsi="Cambria"/>
          <w:lang w:val="en-GB"/>
        </w:rPr>
      </w:pPr>
      <w:r w:rsidRPr="005A42C4">
        <w:rPr>
          <w:rFonts w:ascii="Cambria" w:hAnsi="Cambria"/>
          <w:lang w:val="en-GB"/>
        </w:rPr>
        <w:t xml:space="preserve">This line is intended to identify the non-financial liabilities that do not relate to </w:t>
      </w:r>
      <w:r w:rsidR="001E310B" w:rsidRPr="005A42C4">
        <w:rPr>
          <w:rFonts w:ascii="Cambria" w:hAnsi="Cambria"/>
          <w:lang w:val="en-GB"/>
        </w:rPr>
        <w:t xml:space="preserve">debt </w:t>
      </w:r>
      <w:r w:rsidRPr="005A42C4">
        <w:rPr>
          <w:rFonts w:ascii="Cambria" w:hAnsi="Cambria"/>
          <w:lang w:val="en-GB"/>
        </w:rPr>
        <w:t>instruments of which the holders can be bailed in</w:t>
      </w:r>
      <w:r w:rsidR="001E310B" w:rsidRPr="005A42C4">
        <w:rPr>
          <w:rFonts w:ascii="Cambria" w:hAnsi="Cambria"/>
          <w:lang w:val="en-GB"/>
        </w:rPr>
        <w:t xml:space="preserve"> due to practical reasons</w:t>
      </w:r>
      <w:r w:rsidRPr="005A42C4">
        <w:rPr>
          <w:rFonts w:ascii="Cambria" w:hAnsi="Cambria"/>
          <w:lang w:val="en-GB"/>
        </w:rPr>
        <w:t xml:space="preserve">. Provisions related to litigations to which the </w:t>
      </w:r>
      <w:r w:rsidR="00F400B4" w:rsidRPr="005A42C4">
        <w:rPr>
          <w:rFonts w:ascii="Cambria" w:hAnsi="Cambria"/>
          <w:lang w:val="en-GB"/>
        </w:rPr>
        <w:t>entity</w:t>
      </w:r>
      <w:r w:rsidRPr="005A42C4">
        <w:rPr>
          <w:rFonts w:ascii="Cambria" w:hAnsi="Cambria"/>
          <w:lang w:val="en-GB"/>
        </w:rPr>
        <w:t xml:space="preserve"> is subject are one example of such liabilities</w:t>
      </w:r>
      <w:r w:rsidR="001E310B" w:rsidRPr="005A42C4">
        <w:rPr>
          <w:rFonts w:ascii="Cambria" w:hAnsi="Cambria"/>
          <w:lang w:val="en-GB"/>
        </w:rPr>
        <w:t xml:space="preserve"> (i.e. the claim is dependent on future events, legal proceedings in this case, and cannot be </w:t>
      </w:r>
      <w:r w:rsidR="005214D9" w:rsidRPr="005A42C4">
        <w:rPr>
          <w:rFonts w:ascii="Cambria" w:hAnsi="Cambria"/>
          <w:lang w:val="en-GB"/>
        </w:rPr>
        <w:t>bailed in at the point of non-viability</w:t>
      </w:r>
      <w:r w:rsidR="001E310B" w:rsidRPr="005A42C4">
        <w:rPr>
          <w:rFonts w:ascii="Cambria" w:hAnsi="Cambria"/>
          <w:lang w:val="en-GB"/>
        </w:rPr>
        <w:t>)</w:t>
      </w:r>
      <w:r w:rsidRPr="005A42C4">
        <w:rPr>
          <w:rFonts w:ascii="Cambria" w:hAnsi="Cambria"/>
          <w:lang w:val="en-GB"/>
        </w:rPr>
        <w:t>.</w:t>
      </w:r>
    </w:p>
    <w:p w14:paraId="5C3523FC" w14:textId="1DFFF252" w:rsidR="00E20340" w:rsidRPr="005A42C4" w:rsidRDefault="00DA3A5D" w:rsidP="009474F1">
      <w:pPr>
        <w:pStyle w:val="Heading4"/>
        <w:rPr>
          <w:rFonts w:ascii="Cambria" w:hAnsi="Cambria"/>
          <w:lang w:val="en-GB"/>
        </w:rPr>
      </w:pPr>
      <w:r w:rsidRPr="005A42C4">
        <w:rPr>
          <w:rFonts w:ascii="Cambria" w:hAnsi="Cambria"/>
          <w:lang w:val="en-GB"/>
        </w:rPr>
        <w:t>r04</w:t>
      </w:r>
      <w:r w:rsidR="007D50F0" w:rsidRPr="005A42C4">
        <w:rPr>
          <w:rFonts w:ascii="Cambria" w:hAnsi="Cambria"/>
          <w:lang w:val="en-GB"/>
        </w:rPr>
        <w:t xml:space="preserve">00 </w:t>
      </w:r>
      <w:r w:rsidR="00E20340" w:rsidRPr="005A42C4">
        <w:rPr>
          <w:rFonts w:ascii="Cambria" w:hAnsi="Cambria"/>
          <w:lang w:val="en-GB"/>
        </w:rPr>
        <w:t>- Residual liabilities</w:t>
      </w:r>
    </w:p>
    <w:p w14:paraId="7DB2532F" w14:textId="378DF103" w:rsidR="00E20340" w:rsidRPr="005A42C4" w:rsidRDefault="00E20340" w:rsidP="009474F1">
      <w:pPr>
        <w:rPr>
          <w:rFonts w:ascii="Cambria" w:hAnsi="Cambria"/>
          <w:lang w:val="en-GB"/>
        </w:rPr>
      </w:pPr>
      <w:r w:rsidRPr="005A42C4">
        <w:rPr>
          <w:rFonts w:ascii="Cambria" w:hAnsi="Cambria"/>
          <w:lang w:val="en-GB"/>
        </w:rPr>
        <w:t xml:space="preserve">This </w:t>
      </w:r>
      <w:r w:rsidR="00E62E61" w:rsidRPr="005A42C4">
        <w:rPr>
          <w:rFonts w:ascii="Cambria" w:hAnsi="Cambria"/>
          <w:lang w:val="en-GB"/>
        </w:rPr>
        <w:t xml:space="preserve">is a </w:t>
      </w:r>
      <w:r w:rsidRPr="005A42C4">
        <w:rPr>
          <w:rFonts w:ascii="Cambria" w:hAnsi="Cambria"/>
          <w:lang w:val="en-GB"/>
        </w:rPr>
        <w:t>residual category</w:t>
      </w:r>
      <w:r w:rsidR="00A32783" w:rsidRPr="005A42C4">
        <w:rPr>
          <w:rFonts w:ascii="Cambria" w:hAnsi="Cambria"/>
          <w:lang w:val="en-GB"/>
        </w:rPr>
        <w:t xml:space="preserve"> to account for the total balance sheet liabilities and own funds</w:t>
      </w:r>
      <w:r w:rsidR="00E62E61" w:rsidRPr="005A42C4">
        <w:rPr>
          <w:rFonts w:ascii="Cambria" w:hAnsi="Cambria"/>
          <w:lang w:val="en-GB"/>
        </w:rPr>
        <w:t>.</w:t>
      </w:r>
      <w:r w:rsidRPr="005A42C4">
        <w:rPr>
          <w:rFonts w:ascii="Cambria" w:hAnsi="Cambria"/>
          <w:lang w:val="en-GB"/>
        </w:rPr>
        <w:t xml:space="preserve"> As such, it is not expected that significant amounts would have to be reported in th</w:t>
      </w:r>
      <w:r w:rsidR="00E62E61" w:rsidRPr="005A42C4">
        <w:rPr>
          <w:rFonts w:ascii="Cambria" w:hAnsi="Cambria"/>
          <w:lang w:val="en-GB"/>
        </w:rPr>
        <w:t>is</w:t>
      </w:r>
      <w:r w:rsidRPr="005A42C4">
        <w:rPr>
          <w:rFonts w:ascii="Cambria" w:hAnsi="Cambria"/>
          <w:lang w:val="en-GB"/>
        </w:rPr>
        <w:t xml:space="preserve"> line.</w:t>
      </w:r>
      <w:r w:rsidR="00F01188" w:rsidRPr="005A42C4">
        <w:rPr>
          <w:rFonts w:ascii="Cambria" w:hAnsi="Cambria"/>
          <w:lang w:val="en-GB"/>
        </w:rPr>
        <w:t xml:space="preserve"> A few examples of liabilities that may nonetheless have to be reported under this line are the variable component of material risk takers’ employee liabilities, dividends decided but yet to be paid</w:t>
      </w:r>
      <w:r w:rsidR="00B55E3C" w:rsidRPr="005A42C4">
        <w:rPr>
          <w:rFonts w:ascii="Cambria" w:hAnsi="Cambria"/>
          <w:lang w:val="en-GB"/>
        </w:rPr>
        <w:t xml:space="preserve">, </w:t>
      </w:r>
      <w:r w:rsidR="00A26B9D" w:rsidRPr="005A42C4">
        <w:rPr>
          <w:rFonts w:ascii="Cambria" w:hAnsi="Cambria"/>
          <w:lang w:val="en-GB"/>
        </w:rPr>
        <w:t>service liabilities which are not critical, etc.</w:t>
      </w:r>
    </w:p>
    <w:p w14:paraId="3D2E2DB5" w14:textId="2AE15C3D" w:rsidR="00E20340" w:rsidRPr="005A42C4" w:rsidRDefault="00DA3A5D" w:rsidP="009474F1">
      <w:pPr>
        <w:pStyle w:val="Heading4"/>
        <w:rPr>
          <w:rFonts w:ascii="Cambria" w:hAnsi="Cambria"/>
          <w:caps/>
          <w:lang w:val="en-GB"/>
        </w:rPr>
      </w:pPr>
      <w:r w:rsidRPr="005A42C4">
        <w:rPr>
          <w:rFonts w:ascii="Cambria" w:hAnsi="Cambria"/>
          <w:lang w:val="en-GB"/>
        </w:rPr>
        <w:t>r05</w:t>
      </w:r>
      <w:r w:rsidR="007D50F0" w:rsidRPr="005A42C4">
        <w:rPr>
          <w:rFonts w:ascii="Cambria" w:hAnsi="Cambria"/>
          <w:lang w:val="en-GB"/>
        </w:rPr>
        <w:t xml:space="preserve">00 </w:t>
      </w:r>
      <w:r w:rsidR="00E20340" w:rsidRPr="005A42C4">
        <w:rPr>
          <w:rFonts w:ascii="Cambria" w:hAnsi="Cambria"/>
          <w:lang w:val="en-GB"/>
        </w:rPr>
        <w:t xml:space="preserve">- </w:t>
      </w:r>
      <w:r w:rsidR="00E20340" w:rsidRPr="005A42C4">
        <w:rPr>
          <w:rFonts w:ascii="Cambria" w:hAnsi="Cambria"/>
          <w:caps/>
          <w:lang w:val="en-GB"/>
        </w:rPr>
        <w:t>Own funds</w:t>
      </w:r>
    </w:p>
    <w:p w14:paraId="0C7A1843" w14:textId="538DC134" w:rsidR="00875D43" w:rsidRDefault="00B14542" w:rsidP="006550F9">
      <w:pPr>
        <w:rPr>
          <w:rFonts w:ascii="Cambria" w:hAnsi="Cambria"/>
          <w:lang w:val="en-GB"/>
        </w:rPr>
      </w:pPr>
      <w:r>
        <w:rPr>
          <w:rFonts w:ascii="Cambria" w:hAnsi="Cambria"/>
          <w:lang w:val="en-GB"/>
        </w:rPr>
        <w:t>(</w:t>
      </w:r>
      <w:commentRangeStart w:id="140"/>
      <w:r w:rsidR="00875D43">
        <w:rPr>
          <w:rFonts w:ascii="Cambria" w:hAnsi="Cambria"/>
          <w:lang w:val="en-GB"/>
        </w:rPr>
        <w:t>COREP C01.00-010-010)</w:t>
      </w:r>
      <w:commentRangeEnd w:id="140"/>
      <w:r w:rsidR="004A1962">
        <w:rPr>
          <w:rStyle w:val="CommentReference"/>
          <w:rFonts w:ascii="Cambria" w:eastAsia="MS Mincho" w:hAnsi="Cambria" w:cs="Times New Roman"/>
          <w:lang w:val="en-US"/>
        </w:rPr>
        <w:commentReference w:id="140"/>
      </w:r>
    </w:p>
    <w:p w14:paraId="2F9C4781" w14:textId="5F70FBD6" w:rsidR="00282945" w:rsidRPr="005A42C4" w:rsidRDefault="00282945" w:rsidP="006550F9">
      <w:pPr>
        <w:rPr>
          <w:rFonts w:ascii="Cambria" w:hAnsi="Cambria"/>
          <w:lang w:val="en-GB"/>
        </w:rPr>
      </w:pPr>
      <w:r w:rsidRPr="005A42C4">
        <w:rPr>
          <w:rFonts w:ascii="Cambria" w:hAnsi="Cambria"/>
          <w:lang w:val="en-GB"/>
        </w:rPr>
        <w:t>The own funds is the sum of common equity tier 1 (</w:t>
      </w:r>
      <w:r w:rsidR="00DA3A5D" w:rsidRPr="005A42C4">
        <w:rPr>
          <w:rFonts w:ascii="Cambria" w:hAnsi="Cambria"/>
          <w:lang w:val="en-GB"/>
        </w:rPr>
        <w:t>r05</w:t>
      </w:r>
      <w:r w:rsidRPr="005A42C4">
        <w:rPr>
          <w:rFonts w:ascii="Cambria" w:hAnsi="Cambria"/>
          <w:lang w:val="en-GB"/>
        </w:rPr>
        <w:t>10), additional tier 1 (</w:t>
      </w:r>
      <w:r w:rsidR="00DA3A5D" w:rsidRPr="005A42C4">
        <w:rPr>
          <w:rFonts w:ascii="Cambria" w:hAnsi="Cambria"/>
          <w:lang w:val="en-GB"/>
        </w:rPr>
        <w:t>r05</w:t>
      </w:r>
      <w:r w:rsidRPr="005A42C4">
        <w:rPr>
          <w:rFonts w:ascii="Cambria" w:hAnsi="Cambria"/>
          <w:lang w:val="en-GB"/>
        </w:rPr>
        <w:t>20) and tier 2 own funds (</w:t>
      </w:r>
      <w:r w:rsidR="00DA3A5D" w:rsidRPr="005A42C4">
        <w:rPr>
          <w:rFonts w:ascii="Cambria" w:hAnsi="Cambria"/>
          <w:lang w:val="en-GB"/>
        </w:rPr>
        <w:t>r05</w:t>
      </w:r>
      <w:r w:rsidRPr="005A42C4">
        <w:rPr>
          <w:rFonts w:ascii="Cambria" w:hAnsi="Cambria"/>
          <w:lang w:val="en-GB"/>
        </w:rPr>
        <w:t>30). No counterparty breakdown is required.</w:t>
      </w:r>
      <w:r w:rsidR="004921EE">
        <w:rPr>
          <w:rFonts w:ascii="Cambria" w:hAnsi="Cambria"/>
          <w:lang w:val="en-GB"/>
        </w:rPr>
        <w:t xml:space="preserve"> </w:t>
      </w:r>
      <w:r w:rsidRPr="005A42C4">
        <w:rPr>
          <w:rFonts w:ascii="Cambria" w:hAnsi="Cambria"/>
          <w:lang w:val="en-GB"/>
        </w:rPr>
        <w:t>For entities not subject to prudential requirements, the contribution of the entity towards the consolidated own funds should be reported for these lines and the total own funds.</w:t>
      </w:r>
    </w:p>
    <w:p w14:paraId="196FF609" w14:textId="72C664FD" w:rsidR="00E20340" w:rsidRPr="005A42C4" w:rsidRDefault="00DA3A5D" w:rsidP="009474F1">
      <w:pPr>
        <w:pStyle w:val="Heading4"/>
        <w:rPr>
          <w:rFonts w:ascii="Cambria" w:hAnsi="Cambria"/>
          <w:lang w:val="en-GB"/>
        </w:rPr>
      </w:pPr>
      <w:r w:rsidRPr="005A42C4">
        <w:rPr>
          <w:rFonts w:ascii="Cambria" w:hAnsi="Cambria"/>
          <w:lang w:val="en-GB"/>
        </w:rPr>
        <w:t>r05</w:t>
      </w:r>
      <w:r w:rsidR="007D50F0" w:rsidRPr="005A42C4">
        <w:rPr>
          <w:rFonts w:ascii="Cambria" w:hAnsi="Cambria"/>
          <w:lang w:val="en-GB"/>
        </w:rPr>
        <w:t xml:space="preserve">10 </w:t>
      </w:r>
      <w:r w:rsidR="00E20340" w:rsidRPr="005A42C4">
        <w:rPr>
          <w:rFonts w:ascii="Cambria" w:hAnsi="Cambria"/>
          <w:lang w:val="en-GB"/>
        </w:rPr>
        <w:t>- Common Equity Tier 1 Capital</w:t>
      </w:r>
    </w:p>
    <w:p w14:paraId="24C430CB" w14:textId="0604ED72" w:rsidR="00875D43" w:rsidRDefault="00B14542" w:rsidP="009474F1">
      <w:pPr>
        <w:rPr>
          <w:rFonts w:ascii="Cambria" w:hAnsi="Cambria"/>
          <w:lang w:val="en-GB"/>
        </w:rPr>
      </w:pPr>
      <w:r>
        <w:rPr>
          <w:rFonts w:ascii="Cambria" w:hAnsi="Cambria"/>
          <w:lang w:val="en-GB"/>
        </w:rPr>
        <w:t>(</w:t>
      </w:r>
      <w:r w:rsidR="00875D43">
        <w:rPr>
          <w:rFonts w:ascii="Cambria" w:hAnsi="Cambria"/>
          <w:lang w:val="en-GB"/>
        </w:rPr>
        <w:t>COREP C</w:t>
      </w:r>
      <w:r w:rsidR="00DA370F">
        <w:rPr>
          <w:rFonts w:ascii="Cambria" w:hAnsi="Cambria"/>
          <w:lang w:val="en-GB"/>
        </w:rPr>
        <w:t>01.00-02</w:t>
      </w:r>
      <w:r w:rsidR="00875D43">
        <w:rPr>
          <w:rFonts w:ascii="Cambria" w:hAnsi="Cambria"/>
          <w:lang w:val="en-GB"/>
        </w:rPr>
        <w:t xml:space="preserve">0-010) </w:t>
      </w:r>
    </w:p>
    <w:p w14:paraId="773E6665" w14:textId="5CBA0F1B" w:rsidR="00E20340" w:rsidRPr="005A42C4" w:rsidRDefault="007D50F0" w:rsidP="009474F1">
      <w:pPr>
        <w:rPr>
          <w:rFonts w:ascii="Cambria" w:hAnsi="Cambria"/>
          <w:lang w:val="en-GB"/>
        </w:rPr>
      </w:pPr>
      <w:r w:rsidRPr="005A42C4">
        <w:rPr>
          <w:rFonts w:ascii="Cambria" w:hAnsi="Cambria"/>
          <w:lang w:val="en-GB"/>
        </w:rPr>
        <w:t>E</w:t>
      </w:r>
      <w:r w:rsidR="00F400B4" w:rsidRPr="005A42C4">
        <w:rPr>
          <w:rFonts w:ascii="Cambria" w:hAnsi="Cambria"/>
          <w:lang w:val="en-GB"/>
        </w:rPr>
        <w:t>ntities</w:t>
      </w:r>
      <w:r w:rsidR="00E20340" w:rsidRPr="005A42C4">
        <w:rPr>
          <w:rFonts w:ascii="Cambria" w:hAnsi="Cambria"/>
          <w:lang w:val="en-GB"/>
        </w:rPr>
        <w:t xml:space="preserve"> should report the Common Equity Tier 1 capital as defined in articles 26 through 50 of the CRR</w:t>
      </w:r>
      <w:r w:rsidR="006D73AD" w:rsidRPr="005A42C4">
        <w:rPr>
          <w:rFonts w:ascii="Cambria" w:hAnsi="Cambria"/>
          <w:lang w:val="en-GB"/>
        </w:rPr>
        <w:t xml:space="preserve"> </w:t>
      </w:r>
      <w:r w:rsidR="002C33D4" w:rsidRPr="005A42C4">
        <w:rPr>
          <w:rFonts w:ascii="Cambria" w:hAnsi="Cambria"/>
          <w:lang w:val="en-GB"/>
        </w:rPr>
        <w:t>in the total outstanding amount (</w:t>
      </w:r>
      <w:r w:rsidR="00DA3A5D" w:rsidRPr="005A42C4">
        <w:rPr>
          <w:rFonts w:ascii="Cambria" w:hAnsi="Cambria"/>
          <w:lang w:val="en-GB"/>
        </w:rPr>
        <w:t>c01</w:t>
      </w:r>
      <w:r w:rsidR="002C33D4" w:rsidRPr="005A42C4">
        <w:rPr>
          <w:rFonts w:ascii="Cambria" w:hAnsi="Cambria"/>
          <w:lang w:val="en-GB"/>
        </w:rPr>
        <w:t>22)</w:t>
      </w:r>
      <w:r w:rsidR="00E20340" w:rsidRPr="005A42C4">
        <w:rPr>
          <w:rFonts w:ascii="Cambria" w:hAnsi="Cambria"/>
          <w:lang w:val="en-GB"/>
        </w:rPr>
        <w:t>.</w:t>
      </w:r>
      <w:r w:rsidR="00A42E05" w:rsidRPr="005A42C4">
        <w:rPr>
          <w:rFonts w:ascii="Cambria" w:hAnsi="Cambria"/>
          <w:lang w:val="en-GB"/>
        </w:rPr>
        <w:t xml:space="preserve"> No </w:t>
      </w:r>
      <w:r w:rsidR="002C33D4" w:rsidRPr="005A42C4">
        <w:rPr>
          <w:rFonts w:ascii="Cambria" w:hAnsi="Cambria"/>
          <w:lang w:val="en-GB"/>
        </w:rPr>
        <w:t xml:space="preserve">further </w:t>
      </w:r>
      <w:r w:rsidR="00A42E05" w:rsidRPr="005A42C4">
        <w:rPr>
          <w:rFonts w:ascii="Cambria" w:hAnsi="Cambria"/>
          <w:lang w:val="en-GB"/>
        </w:rPr>
        <w:t>counterparty breakdown is required.</w:t>
      </w:r>
    </w:p>
    <w:p w14:paraId="2FEB3A90" w14:textId="304583CB" w:rsidR="002951DF" w:rsidRPr="005A42C4" w:rsidRDefault="00DA3A5D" w:rsidP="009474F1">
      <w:pPr>
        <w:pStyle w:val="Heading4"/>
        <w:rPr>
          <w:rFonts w:ascii="Cambria" w:hAnsi="Cambria"/>
          <w:lang w:val="en-GB"/>
        </w:rPr>
      </w:pPr>
      <w:r w:rsidRPr="005A42C4">
        <w:rPr>
          <w:rFonts w:ascii="Cambria" w:hAnsi="Cambria"/>
          <w:lang w:val="en-GB"/>
        </w:rPr>
        <w:t>r05</w:t>
      </w:r>
      <w:r w:rsidR="007D50F0" w:rsidRPr="005A42C4">
        <w:rPr>
          <w:rFonts w:ascii="Cambria" w:hAnsi="Cambria"/>
          <w:lang w:val="en-GB"/>
        </w:rPr>
        <w:t xml:space="preserve">11 </w:t>
      </w:r>
      <w:r w:rsidR="002951DF" w:rsidRPr="005A42C4">
        <w:rPr>
          <w:rFonts w:ascii="Cambria" w:hAnsi="Cambria"/>
          <w:lang w:val="en-GB"/>
        </w:rPr>
        <w:t>- o/w capital instruments/share capital</w:t>
      </w:r>
    </w:p>
    <w:p w14:paraId="24BCF157" w14:textId="1506A2D3" w:rsidR="00875D43" w:rsidRDefault="00B14542" w:rsidP="009474F1">
      <w:pPr>
        <w:rPr>
          <w:rFonts w:ascii="Cambria" w:hAnsi="Cambria"/>
          <w:lang w:val="en-GB"/>
        </w:rPr>
      </w:pPr>
      <w:r>
        <w:rPr>
          <w:rFonts w:ascii="Cambria" w:hAnsi="Cambria"/>
          <w:lang w:val="en-GB"/>
        </w:rPr>
        <w:t>(</w:t>
      </w:r>
      <w:commentRangeStart w:id="141"/>
      <w:r w:rsidR="00875D43">
        <w:rPr>
          <w:rFonts w:ascii="Cambria" w:hAnsi="Cambria"/>
          <w:lang w:val="en-GB"/>
        </w:rPr>
        <w:t>F</w:t>
      </w:r>
      <w:r>
        <w:rPr>
          <w:rFonts w:ascii="Cambria" w:hAnsi="Cambria"/>
          <w:lang w:val="en-GB"/>
        </w:rPr>
        <w:t xml:space="preserve">INREP </w:t>
      </w:r>
      <w:r w:rsidR="00875D43">
        <w:rPr>
          <w:rFonts w:ascii="Cambria" w:hAnsi="Cambria"/>
          <w:lang w:val="en-GB"/>
        </w:rPr>
        <w:t>F01.03-010-010 + F01.03-040-010) for the carrying amount</w:t>
      </w:r>
      <w:commentRangeEnd w:id="141"/>
      <w:r w:rsidR="004A1962">
        <w:rPr>
          <w:rStyle w:val="CommentReference"/>
          <w:rFonts w:ascii="Cambria" w:eastAsia="MS Mincho" w:hAnsi="Cambria" w:cs="Times New Roman"/>
          <w:lang w:val="en-US"/>
        </w:rPr>
        <w:commentReference w:id="141"/>
      </w:r>
    </w:p>
    <w:p w14:paraId="6E32622D" w14:textId="24351D97" w:rsidR="00E20340" w:rsidRPr="005A42C4" w:rsidRDefault="00E20340" w:rsidP="009474F1">
      <w:pPr>
        <w:rPr>
          <w:rFonts w:ascii="Cambria" w:hAnsi="Cambria"/>
          <w:lang w:val="en-GB"/>
        </w:rPr>
      </w:pPr>
      <w:r w:rsidRPr="005A42C4">
        <w:rPr>
          <w:rFonts w:ascii="Cambria" w:hAnsi="Cambria"/>
          <w:lang w:val="en-GB"/>
        </w:rPr>
        <w:t>Th</w:t>
      </w:r>
      <w:r w:rsidR="002951DF" w:rsidRPr="005A42C4">
        <w:rPr>
          <w:rFonts w:ascii="Cambria" w:hAnsi="Cambria"/>
          <w:lang w:val="en-GB"/>
        </w:rPr>
        <w:t>is</w:t>
      </w:r>
      <w:r w:rsidRPr="005A42C4">
        <w:rPr>
          <w:rFonts w:ascii="Cambria" w:hAnsi="Cambria"/>
          <w:lang w:val="en-GB"/>
        </w:rPr>
        <w:t xml:space="preserve"> breakdown identifi</w:t>
      </w:r>
      <w:r w:rsidR="002951DF" w:rsidRPr="005A42C4">
        <w:rPr>
          <w:rFonts w:ascii="Cambria" w:hAnsi="Cambria"/>
          <w:lang w:val="en-GB"/>
        </w:rPr>
        <w:t>es</w:t>
      </w:r>
      <w:r w:rsidRPr="005A42C4">
        <w:rPr>
          <w:rFonts w:ascii="Cambria" w:hAnsi="Cambria"/>
          <w:lang w:val="en-GB"/>
        </w:rPr>
        <w:t xml:space="preserve"> the legal instruments that constitute (part of) CET1 capital</w:t>
      </w:r>
      <w:r w:rsidR="002951DF" w:rsidRPr="005A42C4">
        <w:rPr>
          <w:rFonts w:ascii="Cambria" w:hAnsi="Cambria"/>
          <w:lang w:val="en-GB"/>
        </w:rPr>
        <w:t xml:space="preserve"> in the form of capital instruments/share capital</w:t>
      </w:r>
      <w:r w:rsidR="006273B4" w:rsidRPr="005A42C4">
        <w:rPr>
          <w:rFonts w:ascii="Cambria" w:hAnsi="Cambria"/>
          <w:lang w:val="en-GB"/>
        </w:rPr>
        <w:t>, e.g. the value of issued shares</w:t>
      </w:r>
      <w:r w:rsidRPr="005A42C4">
        <w:rPr>
          <w:rFonts w:ascii="Cambria" w:hAnsi="Cambria"/>
          <w:lang w:val="en-GB"/>
        </w:rPr>
        <w:t>.</w:t>
      </w:r>
      <w:r w:rsidR="00A42E05" w:rsidRPr="005A42C4">
        <w:rPr>
          <w:rFonts w:ascii="Cambria" w:hAnsi="Cambria"/>
          <w:lang w:val="en-GB"/>
        </w:rPr>
        <w:t xml:space="preserve"> The breakdown of these instruments should be made for counterparties as well as by carrying and outstanding amount.</w:t>
      </w:r>
      <w:r w:rsidR="004E2EFC" w:rsidRPr="005A42C4">
        <w:rPr>
          <w:rFonts w:ascii="Cambria" w:hAnsi="Cambria"/>
          <w:lang w:val="en-GB"/>
        </w:rPr>
        <w:t xml:space="preserve"> Regarding the latter distinction, the carrying amount should be understood as the face value of the instruments, whereas the outstanding </w:t>
      </w:r>
      <w:r w:rsidR="004E2EFC" w:rsidRPr="005A42C4">
        <w:rPr>
          <w:rFonts w:ascii="Cambria" w:hAnsi="Cambria"/>
          <w:lang w:val="en-GB"/>
        </w:rPr>
        <w:lastRenderedPageBreak/>
        <w:t>amount represent the residual claim of shares</w:t>
      </w:r>
      <w:r w:rsidR="00115A34" w:rsidRPr="005A42C4">
        <w:rPr>
          <w:rFonts w:ascii="Cambria" w:hAnsi="Cambria"/>
          <w:lang w:val="en-GB"/>
        </w:rPr>
        <w:t xml:space="preserve"> on total accounting equity</w:t>
      </w:r>
      <w:r w:rsidR="00140B80" w:rsidRPr="005A42C4">
        <w:rPr>
          <w:rFonts w:ascii="Cambria" w:hAnsi="Cambria"/>
          <w:lang w:val="en-GB"/>
        </w:rPr>
        <w:t>, i.e. including the reserves of the entity/group.</w:t>
      </w:r>
    </w:p>
    <w:p w14:paraId="1DED5D93" w14:textId="75DDC92D" w:rsidR="002951DF" w:rsidRPr="005A42C4" w:rsidRDefault="00DA3A5D" w:rsidP="009474F1">
      <w:pPr>
        <w:pStyle w:val="Heading4"/>
        <w:rPr>
          <w:rFonts w:ascii="Cambria" w:hAnsi="Cambria"/>
          <w:lang w:val="en-GB"/>
        </w:rPr>
      </w:pPr>
      <w:r w:rsidRPr="005A42C4">
        <w:rPr>
          <w:rFonts w:ascii="Cambria" w:hAnsi="Cambria"/>
          <w:lang w:val="en-GB"/>
        </w:rPr>
        <w:t>r05</w:t>
      </w:r>
      <w:r w:rsidR="007D50F0" w:rsidRPr="005A42C4">
        <w:rPr>
          <w:rFonts w:ascii="Cambria" w:hAnsi="Cambria"/>
          <w:lang w:val="en-GB"/>
        </w:rPr>
        <w:t xml:space="preserve">12 </w:t>
      </w:r>
      <w:r w:rsidR="002951DF" w:rsidRPr="005A42C4">
        <w:rPr>
          <w:rFonts w:ascii="Cambria" w:hAnsi="Cambria"/>
          <w:lang w:val="en-GB"/>
        </w:rPr>
        <w:t xml:space="preserve">- o/w </w:t>
      </w:r>
      <w:commentRangeStart w:id="142"/>
      <w:r w:rsidR="002951DF" w:rsidRPr="005A42C4">
        <w:rPr>
          <w:rFonts w:ascii="Cambria" w:hAnsi="Cambria"/>
          <w:lang w:val="en-GB"/>
        </w:rPr>
        <w:t>instruments ranking pari passu with ordinary shares</w:t>
      </w:r>
      <w:commentRangeEnd w:id="142"/>
      <w:r w:rsidR="004A1962">
        <w:rPr>
          <w:rStyle w:val="CommentReference"/>
          <w:rFonts w:ascii="Cambria" w:eastAsia="MS Mincho" w:hAnsi="Cambria" w:cs="Times New Roman"/>
          <w:i w:val="0"/>
          <w:iCs w:val="0"/>
          <w:color w:val="auto"/>
          <w:lang w:val="en-US"/>
        </w:rPr>
        <w:commentReference w:id="142"/>
      </w:r>
    </w:p>
    <w:p w14:paraId="362B8261" w14:textId="77777777" w:rsidR="002951DF" w:rsidRPr="005A42C4" w:rsidRDefault="002951DF" w:rsidP="009474F1">
      <w:pPr>
        <w:rPr>
          <w:rFonts w:ascii="Cambria" w:hAnsi="Cambria"/>
          <w:lang w:val="en-GB"/>
        </w:rPr>
      </w:pPr>
      <w:r w:rsidRPr="005A42C4">
        <w:rPr>
          <w:rFonts w:ascii="Cambria" w:hAnsi="Cambria"/>
          <w:lang w:val="en-GB"/>
        </w:rPr>
        <w:t xml:space="preserve">This breakdown identifies the legal instruments that constitute (part of) CET1 own funds in the form of instruments other than capital instruments/share capital, but ranking </w:t>
      </w:r>
      <w:r w:rsidRPr="005A42C4">
        <w:rPr>
          <w:rFonts w:ascii="Cambria" w:hAnsi="Cambria"/>
          <w:i/>
          <w:lang w:val="en-GB"/>
        </w:rPr>
        <w:t>pari passu</w:t>
      </w:r>
      <w:r w:rsidRPr="005A42C4">
        <w:rPr>
          <w:rFonts w:ascii="Cambria" w:hAnsi="Cambria"/>
          <w:lang w:val="en-GB"/>
        </w:rPr>
        <w:t xml:space="preserve"> with this category.</w:t>
      </w:r>
      <w:r w:rsidR="00A42E05" w:rsidRPr="005A42C4">
        <w:rPr>
          <w:rFonts w:ascii="Cambria" w:hAnsi="Cambria"/>
          <w:lang w:val="en-GB"/>
        </w:rPr>
        <w:t xml:space="preserve"> The breakdown of these instruments should be made for counterparties as well as by carrying and outstanding amount</w:t>
      </w:r>
      <w:r w:rsidR="0077036D" w:rsidRPr="005A42C4">
        <w:rPr>
          <w:rFonts w:ascii="Cambria" w:hAnsi="Cambria"/>
          <w:lang w:val="en-GB"/>
        </w:rPr>
        <w:t>, always for the qualifying part</w:t>
      </w:r>
      <w:r w:rsidR="00A42E05" w:rsidRPr="005A42C4">
        <w:rPr>
          <w:rFonts w:ascii="Cambria" w:hAnsi="Cambria"/>
          <w:lang w:val="en-GB"/>
        </w:rPr>
        <w:t>.</w:t>
      </w:r>
    </w:p>
    <w:p w14:paraId="3E35A2FF" w14:textId="587BB9A9" w:rsidR="00E20340" w:rsidRPr="005A42C4" w:rsidRDefault="00DA3A5D" w:rsidP="009474F1">
      <w:pPr>
        <w:pStyle w:val="Heading4"/>
        <w:rPr>
          <w:rFonts w:ascii="Cambria" w:hAnsi="Cambria"/>
          <w:lang w:val="en-GB"/>
        </w:rPr>
      </w:pPr>
      <w:r w:rsidRPr="005A42C4">
        <w:rPr>
          <w:rFonts w:ascii="Cambria" w:hAnsi="Cambria"/>
          <w:lang w:val="en-GB"/>
        </w:rPr>
        <w:t>r05</w:t>
      </w:r>
      <w:r w:rsidR="007D50F0" w:rsidRPr="005A42C4">
        <w:rPr>
          <w:rFonts w:ascii="Cambria" w:hAnsi="Cambria"/>
          <w:lang w:val="en-GB"/>
        </w:rPr>
        <w:t xml:space="preserve">20 </w:t>
      </w:r>
      <w:r w:rsidR="00E20340" w:rsidRPr="005A42C4">
        <w:rPr>
          <w:rFonts w:ascii="Cambria" w:hAnsi="Cambria"/>
          <w:lang w:val="en-GB"/>
        </w:rPr>
        <w:t>- Additional Tier 1 capital</w:t>
      </w:r>
    </w:p>
    <w:p w14:paraId="1BD60F16" w14:textId="7AF41CA2" w:rsidR="00DA370F" w:rsidRDefault="00DA370F" w:rsidP="009474F1">
      <w:pPr>
        <w:rPr>
          <w:rFonts w:ascii="Cambria" w:hAnsi="Cambria"/>
          <w:lang w:val="en-GB"/>
        </w:rPr>
      </w:pPr>
      <w:r w:rsidRPr="005A42C4">
        <w:rPr>
          <w:rFonts w:ascii="Cambria" w:hAnsi="Cambria"/>
          <w:lang w:val="en-GB"/>
        </w:rPr>
        <w:t>(COREP C01.00-530-010)</w:t>
      </w:r>
    </w:p>
    <w:p w14:paraId="2ABAEFB9" w14:textId="500C17A6" w:rsidR="00E20340" w:rsidRPr="005A42C4" w:rsidRDefault="007D50F0" w:rsidP="009474F1">
      <w:pPr>
        <w:rPr>
          <w:rFonts w:ascii="Cambria" w:hAnsi="Cambria"/>
          <w:lang w:val="en-GB"/>
        </w:rPr>
      </w:pPr>
      <w:r w:rsidRPr="005A42C4">
        <w:rPr>
          <w:rFonts w:ascii="Cambria" w:hAnsi="Cambria"/>
          <w:lang w:val="en-GB"/>
        </w:rPr>
        <w:t>E</w:t>
      </w:r>
      <w:r w:rsidR="00F400B4" w:rsidRPr="005A42C4">
        <w:rPr>
          <w:rFonts w:ascii="Cambria" w:hAnsi="Cambria"/>
          <w:lang w:val="en-GB"/>
        </w:rPr>
        <w:t>ntities</w:t>
      </w:r>
      <w:r w:rsidR="00E20340" w:rsidRPr="005A42C4">
        <w:rPr>
          <w:rFonts w:ascii="Cambria" w:hAnsi="Cambria"/>
          <w:lang w:val="en-GB"/>
        </w:rPr>
        <w:t xml:space="preserve"> should report the Additional Tier 1 capital as defined in articles 51 through 61 of the CRR</w:t>
      </w:r>
      <w:r w:rsidR="006D73AD" w:rsidRPr="005A42C4">
        <w:rPr>
          <w:rFonts w:ascii="Cambria" w:hAnsi="Cambria"/>
          <w:lang w:val="en-GB"/>
        </w:rPr>
        <w:t xml:space="preserve"> </w:t>
      </w:r>
      <w:r w:rsidR="002C33D4" w:rsidRPr="005A42C4">
        <w:rPr>
          <w:rFonts w:ascii="Cambria" w:hAnsi="Cambria"/>
          <w:lang w:val="en-GB"/>
        </w:rPr>
        <w:t xml:space="preserve"> in the total outstanding amount (</w:t>
      </w:r>
      <w:r w:rsidR="00DA3A5D" w:rsidRPr="005A42C4">
        <w:rPr>
          <w:rFonts w:ascii="Cambria" w:hAnsi="Cambria"/>
          <w:lang w:val="en-GB"/>
        </w:rPr>
        <w:t>c01</w:t>
      </w:r>
      <w:r w:rsidR="002C33D4" w:rsidRPr="005A42C4">
        <w:rPr>
          <w:rFonts w:ascii="Cambria" w:hAnsi="Cambria"/>
          <w:lang w:val="en-GB"/>
        </w:rPr>
        <w:t>22)</w:t>
      </w:r>
      <w:r w:rsidR="00E20340" w:rsidRPr="005A42C4">
        <w:rPr>
          <w:rFonts w:ascii="Cambria" w:hAnsi="Cambria"/>
          <w:lang w:val="en-GB"/>
        </w:rPr>
        <w:t>.</w:t>
      </w:r>
      <w:r w:rsidR="00A42E05" w:rsidRPr="005A42C4">
        <w:rPr>
          <w:rFonts w:ascii="Cambria" w:hAnsi="Cambria"/>
          <w:lang w:val="en-GB"/>
        </w:rPr>
        <w:t xml:space="preserve"> No counterparty breakdown is required.</w:t>
      </w:r>
    </w:p>
    <w:p w14:paraId="608B52F0" w14:textId="3189F362" w:rsidR="002951DF" w:rsidRPr="005A42C4" w:rsidRDefault="00DA3A5D" w:rsidP="009474F1">
      <w:pPr>
        <w:pStyle w:val="Heading4"/>
        <w:rPr>
          <w:rFonts w:ascii="Cambria" w:hAnsi="Cambria"/>
          <w:lang w:val="en-GB"/>
        </w:rPr>
      </w:pPr>
      <w:r w:rsidRPr="005A42C4">
        <w:rPr>
          <w:rFonts w:ascii="Cambria" w:hAnsi="Cambria"/>
          <w:lang w:val="en-GB"/>
        </w:rPr>
        <w:t>r05</w:t>
      </w:r>
      <w:r w:rsidR="007D50F0" w:rsidRPr="005A42C4">
        <w:rPr>
          <w:rFonts w:ascii="Cambria" w:hAnsi="Cambria"/>
          <w:lang w:val="en-GB"/>
        </w:rPr>
        <w:t xml:space="preserve">21 </w:t>
      </w:r>
      <w:r w:rsidR="002951DF" w:rsidRPr="005A42C4">
        <w:rPr>
          <w:rFonts w:ascii="Cambria" w:hAnsi="Cambria"/>
          <w:lang w:val="en-GB"/>
        </w:rPr>
        <w:t>- o/w (part of) subordinated liabilities recognised as own funds</w:t>
      </w:r>
    </w:p>
    <w:p w14:paraId="5BF9AD02" w14:textId="77777777" w:rsidR="002951DF" w:rsidRPr="005A42C4" w:rsidRDefault="002951DF" w:rsidP="009474F1">
      <w:pPr>
        <w:rPr>
          <w:rFonts w:ascii="Cambria" w:hAnsi="Cambria"/>
          <w:lang w:val="en-GB"/>
        </w:rPr>
      </w:pPr>
      <w:r w:rsidRPr="005A42C4">
        <w:rPr>
          <w:rFonts w:ascii="Cambria" w:hAnsi="Cambria"/>
          <w:lang w:val="en-GB"/>
        </w:rPr>
        <w:t>This breakdown identifies the legal instruments that constitute (part of) Additional Tier 1 own funds.</w:t>
      </w:r>
      <w:r w:rsidR="00A42E05" w:rsidRPr="005A42C4">
        <w:rPr>
          <w:rFonts w:ascii="Cambria" w:hAnsi="Cambria"/>
          <w:lang w:val="en-GB"/>
        </w:rPr>
        <w:t xml:space="preserve"> The breakdown of these instruments should be made for counterparties as well as by carrying and outstanding amount</w:t>
      </w:r>
      <w:r w:rsidR="0077036D" w:rsidRPr="005A42C4">
        <w:rPr>
          <w:rFonts w:ascii="Cambria" w:hAnsi="Cambria"/>
          <w:lang w:val="en-GB"/>
        </w:rPr>
        <w:t>, always for the qualifying part (e.g. excluding accrued interest)</w:t>
      </w:r>
      <w:r w:rsidR="00A42E05" w:rsidRPr="005A42C4">
        <w:rPr>
          <w:rFonts w:ascii="Cambria" w:hAnsi="Cambria"/>
          <w:lang w:val="en-GB"/>
        </w:rPr>
        <w:t>.</w:t>
      </w:r>
    </w:p>
    <w:p w14:paraId="146F0E2E" w14:textId="3FD65597" w:rsidR="00E20340" w:rsidRDefault="00DA3A5D" w:rsidP="009474F1">
      <w:pPr>
        <w:pStyle w:val="Heading4"/>
        <w:rPr>
          <w:rFonts w:ascii="Cambria" w:hAnsi="Cambria"/>
          <w:lang w:val="en-GB"/>
        </w:rPr>
      </w:pPr>
      <w:r w:rsidRPr="005A42C4">
        <w:rPr>
          <w:rFonts w:ascii="Cambria" w:hAnsi="Cambria"/>
          <w:lang w:val="en-GB"/>
        </w:rPr>
        <w:t>r05</w:t>
      </w:r>
      <w:r w:rsidR="007D50F0" w:rsidRPr="005A42C4">
        <w:rPr>
          <w:rFonts w:ascii="Cambria" w:hAnsi="Cambria"/>
          <w:lang w:val="en-GB"/>
        </w:rPr>
        <w:t xml:space="preserve">30 </w:t>
      </w:r>
      <w:r w:rsidR="00E20340" w:rsidRPr="005A42C4">
        <w:rPr>
          <w:rFonts w:ascii="Cambria" w:hAnsi="Cambria"/>
          <w:lang w:val="en-GB"/>
        </w:rPr>
        <w:t>- Tier 2 Capital</w:t>
      </w:r>
    </w:p>
    <w:p w14:paraId="1C9E6763" w14:textId="6398BCD1" w:rsidR="00B14542" w:rsidRPr="00B14542" w:rsidRDefault="00B14542" w:rsidP="00B14542">
      <w:pPr>
        <w:rPr>
          <w:lang w:val="en-GB"/>
        </w:rPr>
      </w:pPr>
      <w:r w:rsidRPr="005A42C4">
        <w:rPr>
          <w:rFonts w:ascii="Cambria" w:hAnsi="Cambria"/>
          <w:lang w:val="en-GB"/>
        </w:rPr>
        <w:t>(COREP C01.00-750-010)</w:t>
      </w:r>
    </w:p>
    <w:p w14:paraId="037FB622" w14:textId="028280ED" w:rsidR="00E20340" w:rsidRPr="005A42C4" w:rsidRDefault="007D50F0" w:rsidP="009474F1">
      <w:pPr>
        <w:rPr>
          <w:rFonts w:ascii="Cambria" w:hAnsi="Cambria"/>
          <w:lang w:val="en-GB"/>
        </w:rPr>
      </w:pPr>
      <w:r w:rsidRPr="005A42C4">
        <w:rPr>
          <w:rFonts w:ascii="Cambria" w:hAnsi="Cambria"/>
          <w:lang w:val="en-GB"/>
        </w:rPr>
        <w:t>E</w:t>
      </w:r>
      <w:r w:rsidR="00F400B4" w:rsidRPr="005A42C4">
        <w:rPr>
          <w:rFonts w:ascii="Cambria" w:hAnsi="Cambria"/>
          <w:lang w:val="en-GB"/>
        </w:rPr>
        <w:t>ntities</w:t>
      </w:r>
      <w:r w:rsidR="00E20340" w:rsidRPr="005A42C4">
        <w:rPr>
          <w:rFonts w:ascii="Cambria" w:hAnsi="Cambria"/>
          <w:lang w:val="en-GB"/>
        </w:rPr>
        <w:t xml:space="preserve"> should report the Tier 2 capital as defined in articles 62 through 71 of the CRR</w:t>
      </w:r>
      <w:r w:rsidR="006D73AD" w:rsidRPr="005A42C4">
        <w:rPr>
          <w:rFonts w:ascii="Cambria" w:hAnsi="Cambria"/>
          <w:lang w:val="en-GB"/>
        </w:rPr>
        <w:t xml:space="preserve"> </w:t>
      </w:r>
      <w:r w:rsidR="002C33D4" w:rsidRPr="005A42C4">
        <w:rPr>
          <w:rFonts w:ascii="Cambria" w:hAnsi="Cambria"/>
          <w:lang w:val="en-GB"/>
        </w:rPr>
        <w:t>in the total outstanding amount (</w:t>
      </w:r>
      <w:r w:rsidR="00DA3A5D" w:rsidRPr="005A42C4">
        <w:rPr>
          <w:rFonts w:ascii="Cambria" w:hAnsi="Cambria"/>
          <w:lang w:val="en-GB"/>
        </w:rPr>
        <w:t>c01</w:t>
      </w:r>
      <w:r w:rsidR="002C33D4" w:rsidRPr="005A42C4">
        <w:rPr>
          <w:rFonts w:ascii="Cambria" w:hAnsi="Cambria"/>
          <w:lang w:val="en-GB"/>
        </w:rPr>
        <w:t>22)</w:t>
      </w:r>
      <w:r w:rsidR="00E20340" w:rsidRPr="005A42C4">
        <w:rPr>
          <w:rFonts w:ascii="Cambria" w:hAnsi="Cambria"/>
          <w:lang w:val="en-GB"/>
        </w:rPr>
        <w:t>.</w:t>
      </w:r>
      <w:r w:rsidR="00A42E05" w:rsidRPr="005A42C4">
        <w:rPr>
          <w:rFonts w:ascii="Cambria" w:hAnsi="Cambria"/>
          <w:lang w:val="en-GB"/>
        </w:rPr>
        <w:t xml:space="preserve"> No counterparty breakdown is required.</w:t>
      </w:r>
    </w:p>
    <w:p w14:paraId="557AEB66" w14:textId="37E5428D" w:rsidR="002951DF" w:rsidRPr="005A42C4" w:rsidRDefault="00DA3A5D" w:rsidP="009474F1">
      <w:pPr>
        <w:pStyle w:val="Heading4"/>
        <w:rPr>
          <w:rFonts w:ascii="Cambria" w:hAnsi="Cambria"/>
          <w:lang w:val="en-GB"/>
        </w:rPr>
      </w:pPr>
      <w:r w:rsidRPr="005A42C4">
        <w:rPr>
          <w:rFonts w:ascii="Cambria" w:hAnsi="Cambria"/>
          <w:lang w:val="en-GB"/>
        </w:rPr>
        <w:t>r05</w:t>
      </w:r>
      <w:r w:rsidR="007D50F0" w:rsidRPr="005A42C4">
        <w:rPr>
          <w:rFonts w:ascii="Cambria" w:hAnsi="Cambria"/>
          <w:lang w:val="en-GB"/>
        </w:rPr>
        <w:t xml:space="preserve">31 </w:t>
      </w:r>
      <w:r w:rsidR="002951DF" w:rsidRPr="005A42C4">
        <w:rPr>
          <w:rFonts w:ascii="Cambria" w:hAnsi="Cambria"/>
          <w:lang w:val="en-GB"/>
        </w:rPr>
        <w:t>- o/w (part of) subordinated liabilities recognised as own funds</w:t>
      </w:r>
    </w:p>
    <w:p w14:paraId="67A598F8" w14:textId="77777777" w:rsidR="002951DF" w:rsidRPr="005A42C4" w:rsidRDefault="002951DF" w:rsidP="009474F1">
      <w:pPr>
        <w:rPr>
          <w:rFonts w:ascii="Cambria" w:hAnsi="Cambria"/>
          <w:lang w:val="en-GB"/>
        </w:rPr>
      </w:pPr>
      <w:r w:rsidRPr="005A42C4">
        <w:rPr>
          <w:rFonts w:ascii="Cambria" w:hAnsi="Cambria"/>
          <w:lang w:val="en-GB"/>
        </w:rPr>
        <w:t>This breakdown identifies the legal instruments that constitute (part of) Tier 2 own funds.</w:t>
      </w:r>
      <w:r w:rsidR="00A42E05" w:rsidRPr="005A42C4">
        <w:rPr>
          <w:rFonts w:ascii="Cambria" w:hAnsi="Cambria"/>
          <w:lang w:val="en-GB"/>
        </w:rPr>
        <w:t xml:space="preserve"> The breakdown of these instruments should be made for counterparties as well as by carrying and outstanding amount</w:t>
      </w:r>
      <w:r w:rsidR="0077036D" w:rsidRPr="005A42C4">
        <w:rPr>
          <w:rFonts w:ascii="Cambria" w:hAnsi="Cambria"/>
          <w:lang w:val="en-GB"/>
        </w:rPr>
        <w:t>, always for the qualifying part (e.g. excluding accrued interest)</w:t>
      </w:r>
      <w:r w:rsidR="00A42E05" w:rsidRPr="005A42C4">
        <w:rPr>
          <w:rFonts w:ascii="Cambria" w:hAnsi="Cambria"/>
          <w:lang w:val="en-GB"/>
        </w:rPr>
        <w:t>.</w:t>
      </w:r>
    </w:p>
    <w:p w14:paraId="56EA5808" w14:textId="60FD3FAB" w:rsidR="00E20340" w:rsidRPr="005A42C4" w:rsidRDefault="00DA3A5D" w:rsidP="009474F1">
      <w:pPr>
        <w:pStyle w:val="Heading4"/>
        <w:rPr>
          <w:rFonts w:ascii="Cambria" w:hAnsi="Cambria"/>
          <w:lang w:val="en-GB"/>
        </w:rPr>
      </w:pPr>
      <w:r w:rsidRPr="005A42C4">
        <w:rPr>
          <w:rFonts w:ascii="Cambria" w:hAnsi="Cambria"/>
          <w:lang w:val="en-GB"/>
        </w:rPr>
        <w:t>r06</w:t>
      </w:r>
      <w:r w:rsidR="00E20340" w:rsidRPr="005A42C4">
        <w:rPr>
          <w:rFonts w:ascii="Cambria" w:hAnsi="Cambria"/>
          <w:lang w:val="en-GB"/>
        </w:rPr>
        <w:t xml:space="preserve">00 - </w:t>
      </w:r>
      <w:r w:rsidR="00E20340" w:rsidRPr="005A42C4">
        <w:rPr>
          <w:rFonts w:ascii="Cambria" w:hAnsi="Cambria"/>
          <w:caps/>
          <w:lang w:val="en-GB"/>
        </w:rPr>
        <w:t>Total liabilities and own funds</w:t>
      </w:r>
      <w:r w:rsidR="00843E16" w:rsidRPr="005A42C4">
        <w:rPr>
          <w:rFonts w:ascii="Cambria" w:hAnsi="Cambria"/>
          <w:caps/>
          <w:lang w:val="en-GB"/>
        </w:rPr>
        <w:t xml:space="preserve"> including derivative liabilities</w:t>
      </w:r>
    </w:p>
    <w:p w14:paraId="774000FF" w14:textId="6E8071A3" w:rsidR="00E20340" w:rsidRPr="005A42C4" w:rsidRDefault="00E20340" w:rsidP="009474F1">
      <w:pPr>
        <w:rPr>
          <w:rFonts w:ascii="Cambria" w:hAnsi="Cambria"/>
          <w:lang w:val="en-GB"/>
        </w:rPr>
      </w:pPr>
      <w:r w:rsidRPr="005A42C4">
        <w:rPr>
          <w:rFonts w:ascii="Cambria" w:hAnsi="Cambria"/>
          <w:lang w:val="en-GB"/>
        </w:rPr>
        <w:t xml:space="preserve">This </w:t>
      </w:r>
      <w:r w:rsidR="001E0FFC" w:rsidRPr="005A42C4">
        <w:rPr>
          <w:rFonts w:ascii="Cambria" w:hAnsi="Cambria"/>
          <w:lang w:val="en-GB"/>
        </w:rPr>
        <w:t>line</w:t>
      </w:r>
      <w:r w:rsidRPr="005A42C4">
        <w:rPr>
          <w:rFonts w:ascii="Cambria" w:hAnsi="Cambria"/>
          <w:lang w:val="en-GB"/>
        </w:rPr>
        <w:t xml:space="preserve"> should equal the sum of all the liabilities reported in this template, increased by the amount of regulatory own funds. To this end, </w:t>
      </w:r>
      <w:r w:rsidR="00F400B4" w:rsidRPr="005A42C4">
        <w:rPr>
          <w:rFonts w:ascii="Cambria" w:hAnsi="Cambria"/>
          <w:lang w:val="en-GB"/>
        </w:rPr>
        <w:t>entities</w:t>
      </w:r>
      <w:r w:rsidRPr="005A42C4">
        <w:rPr>
          <w:rFonts w:ascii="Cambria" w:hAnsi="Cambria"/>
          <w:lang w:val="en-GB"/>
        </w:rPr>
        <w:t xml:space="preserve"> need to add all the outstanding amounts from the above lines. With respect to derivatives, the value to be used shall be line </w:t>
      </w:r>
      <w:r w:rsidR="00DA3A5D" w:rsidRPr="005A42C4">
        <w:rPr>
          <w:rFonts w:ascii="Cambria" w:hAnsi="Cambria"/>
          <w:lang w:val="en-GB"/>
        </w:rPr>
        <w:t>r03</w:t>
      </w:r>
      <w:r w:rsidR="00471BA2" w:rsidRPr="005A42C4">
        <w:rPr>
          <w:rFonts w:ascii="Cambria" w:hAnsi="Cambria"/>
          <w:lang w:val="en-GB"/>
        </w:rPr>
        <w:t>34</w:t>
      </w:r>
      <w:r w:rsidRPr="005A42C4">
        <w:rPr>
          <w:rFonts w:ascii="Cambria" w:hAnsi="Cambria"/>
          <w:lang w:val="en-GB"/>
        </w:rPr>
        <w:t xml:space="preserve"> </w:t>
      </w:r>
      <w:r w:rsidR="00D24E8B" w:rsidRPr="005A42C4">
        <w:rPr>
          <w:rFonts w:ascii="Cambria" w:hAnsi="Cambria"/>
          <w:lang w:val="en-GB"/>
        </w:rPr>
        <w:t>‘Sum of net liability positions taking into account prudential netting rules</w:t>
      </w:r>
      <w:r w:rsidRPr="005A42C4">
        <w:rPr>
          <w:rFonts w:ascii="Cambria" w:hAnsi="Cambria"/>
          <w:lang w:val="en-GB"/>
        </w:rPr>
        <w:t>'.</w:t>
      </w:r>
    </w:p>
    <w:p w14:paraId="6D732B86" w14:textId="6AB351FE" w:rsidR="00C06EF0" w:rsidRPr="005A42C4" w:rsidRDefault="004725D4" w:rsidP="009474F1">
      <w:pPr>
        <w:pStyle w:val="Heading4"/>
        <w:rPr>
          <w:rFonts w:ascii="Cambria" w:hAnsi="Cambria"/>
          <w:lang w:val="en-GB"/>
        </w:rPr>
      </w:pPr>
      <w:r w:rsidRPr="005A42C4">
        <w:rPr>
          <w:rFonts w:ascii="Cambria" w:hAnsi="Cambria"/>
          <w:lang w:val="en-GB"/>
        </w:rPr>
        <w:t>r07</w:t>
      </w:r>
      <w:r w:rsidR="009B56D9" w:rsidRPr="005A42C4">
        <w:rPr>
          <w:rFonts w:ascii="Cambria" w:hAnsi="Cambria"/>
          <w:lang w:val="en-GB"/>
        </w:rPr>
        <w:t>00</w:t>
      </w:r>
      <w:r w:rsidR="002951DF" w:rsidRPr="005A42C4">
        <w:rPr>
          <w:rFonts w:ascii="Cambria" w:hAnsi="Cambria"/>
          <w:lang w:val="en-GB"/>
        </w:rPr>
        <w:t xml:space="preserve"> - </w:t>
      </w:r>
      <w:r w:rsidR="00503250" w:rsidRPr="005A42C4">
        <w:rPr>
          <w:rFonts w:ascii="Cambria" w:hAnsi="Cambria"/>
          <w:caps/>
          <w:lang w:val="en-GB"/>
        </w:rPr>
        <w:t xml:space="preserve">Off-balance sheet </w:t>
      </w:r>
      <w:r w:rsidR="00BF0F11" w:rsidRPr="005A42C4">
        <w:rPr>
          <w:rFonts w:ascii="Cambria" w:hAnsi="Cambria"/>
          <w:caps/>
          <w:lang w:val="en-GB"/>
        </w:rPr>
        <w:t>exposures</w:t>
      </w:r>
    </w:p>
    <w:p w14:paraId="76599B4D" w14:textId="77777777" w:rsidR="00C06EF0" w:rsidRPr="005A42C4" w:rsidRDefault="00C06EF0" w:rsidP="007025A8">
      <w:pPr>
        <w:rPr>
          <w:rFonts w:ascii="Cambria" w:hAnsi="Cambria"/>
          <w:lang w:val="en-GB"/>
        </w:rPr>
      </w:pPr>
      <w:r w:rsidRPr="005A42C4">
        <w:rPr>
          <w:rFonts w:ascii="Cambria" w:hAnsi="Cambria"/>
          <w:lang w:val="en-GB"/>
        </w:rPr>
        <w:t xml:space="preserve">In this line, the reporting </w:t>
      </w:r>
      <w:r w:rsidR="00503250" w:rsidRPr="005A42C4">
        <w:rPr>
          <w:rFonts w:ascii="Cambria" w:hAnsi="Cambria"/>
          <w:lang w:val="en-GB"/>
        </w:rPr>
        <w:t xml:space="preserve">entity </w:t>
      </w:r>
      <w:r w:rsidRPr="005A42C4">
        <w:rPr>
          <w:rFonts w:ascii="Cambria" w:hAnsi="Cambria"/>
          <w:lang w:val="en-GB"/>
        </w:rPr>
        <w:t xml:space="preserve">should provide the </w:t>
      </w:r>
      <w:r w:rsidR="009E5B64" w:rsidRPr="005A42C4">
        <w:rPr>
          <w:rFonts w:ascii="Cambria" w:hAnsi="Cambria"/>
          <w:lang w:val="en-GB"/>
        </w:rPr>
        <w:t xml:space="preserve">carrying </w:t>
      </w:r>
      <w:r w:rsidRPr="005A42C4">
        <w:rPr>
          <w:rFonts w:ascii="Cambria" w:hAnsi="Cambria"/>
          <w:lang w:val="en-GB"/>
        </w:rPr>
        <w:t xml:space="preserve">amount of </w:t>
      </w:r>
      <w:r w:rsidR="00381356" w:rsidRPr="005A42C4">
        <w:rPr>
          <w:rFonts w:ascii="Cambria" w:hAnsi="Cambria"/>
          <w:lang w:val="en-GB"/>
        </w:rPr>
        <w:t xml:space="preserve">off-balance sheet exposures </w:t>
      </w:r>
      <w:r w:rsidRPr="005A42C4">
        <w:rPr>
          <w:rFonts w:ascii="Cambria" w:hAnsi="Cambria"/>
          <w:lang w:val="en-GB"/>
        </w:rPr>
        <w:t xml:space="preserve">(i.e. guarantees, credit lines, etc.), </w:t>
      </w:r>
      <w:r w:rsidR="00381356" w:rsidRPr="005A42C4">
        <w:rPr>
          <w:rFonts w:ascii="Cambria" w:hAnsi="Cambria"/>
          <w:lang w:val="en-GB"/>
        </w:rPr>
        <w:t xml:space="preserve">whether committed or not, </w:t>
      </w:r>
      <w:r w:rsidRPr="005A42C4">
        <w:rPr>
          <w:rFonts w:ascii="Cambria" w:hAnsi="Cambria"/>
          <w:lang w:val="en-GB"/>
        </w:rPr>
        <w:t>split by counterparty.</w:t>
      </w:r>
      <w:r w:rsidR="00361DE5" w:rsidRPr="005A42C4">
        <w:rPr>
          <w:rFonts w:ascii="Cambria" w:hAnsi="Cambria"/>
          <w:lang w:val="en-GB"/>
        </w:rPr>
        <w:t xml:space="preserve"> As such, the total amount of off-balance sheet exposures should be in line with FINREP F09.01 ‘Off-balance sheet items subject to credit risk: Loan commitments, financial guarantees and other commitments given’</w:t>
      </w:r>
    </w:p>
    <w:p w14:paraId="472A1755" w14:textId="64B8942E" w:rsidR="00EB5F46" w:rsidRDefault="00EB5F46" w:rsidP="00EB5F46">
      <w:pPr>
        <w:pStyle w:val="Heading4"/>
        <w:rPr>
          <w:rFonts w:ascii="Cambria" w:hAnsi="Cambria"/>
          <w:caps/>
          <w:lang w:val="en-GB"/>
        </w:rPr>
      </w:pPr>
      <w:r w:rsidRPr="005A42C4">
        <w:rPr>
          <w:rFonts w:ascii="Cambria" w:hAnsi="Cambria"/>
          <w:lang w:val="en-GB"/>
        </w:rPr>
        <w:t>r07</w:t>
      </w:r>
      <w:r>
        <w:rPr>
          <w:rFonts w:ascii="Cambria" w:hAnsi="Cambria"/>
          <w:lang w:val="en-GB"/>
        </w:rPr>
        <w:t>50</w:t>
      </w:r>
      <w:r w:rsidRPr="005A42C4">
        <w:rPr>
          <w:rFonts w:ascii="Cambria" w:hAnsi="Cambria"/>
          <w:lang w:val="en-GB"/>
        </w:rPr>
        <w:t xml:space="preserve"> - </w:t>
      </w:r>
      <w:r w:rsidRPr="00EB5F46">
        <w:rPr>
          <w:rFonts w:ascii="Cambria" w:hAnsi="Cambria"/>
          <w:caps/>
          <w:lang w:val="en-GB"/>
        </w:rPr>
        <w:t>Loan commitments received</w:t>
      </w:r>
    </w:p>
    <w:p w14:paraId="1819919D" w14:textId="2923E3A2" w:rsidR="00EB5F46" w:rsidRPr="005950A2" w:rsidRDefault="001C2CF0" w:rsidP="00144849">
      <w:pPr>
        <w:rPr>
          <w:rFonts w:ascii="Cambria" w:hAnsi="Cambria"/>
          <w:lang w:val="en-GB"/>
        </w:rPr>
      </w:pPr>
      <w:r w:rsidRPr="00144849">
        <w:rPr>
          <w:rFonts w:ascii="Cambria" w:hAnsi="Cambria"/>
          <w:lang w:val="en-GB"/>
        </w:rPr>
        <w:t>As defined in FINREP, template F09.02.</w:t>
      </w:r>
    </w:p>
    <w:p w14:paraId="4A4E17FA" w14:textId="51BB82B5" w:rsidR="00EB5F46" w:rsidRDefault="00EB5F46" w:rsidP="00EB5F46">
      <w:pPr>
        <w:pStyle w:val="Heading4"/>
        <w:rPr>
          <w:rFonts w:ascii="Cambria" w:hAnsi="Cambria"/>
          <w:caps/>
          <w:lang w:val="en-GB"/>
        </w:rPr>
      </w:pPr>
      <w:r w:rsidRPr="005A42C4">
        <w:rPr>
          <w:rFonts w:ascii="Cambria" w:hAnsi="Cambria"/>
          <w:lang w:val="en-GB"/>
        </w:rPr>
        <w:t>r07</w:t>
      </w:r>
      <w:r>
        <w:rPr>
          <w:rFonts w:ascii="Cambria" w:hAnsi="Cambria"/>
          <w:lang w:val="en-GB"/>
        </w:rPr>
        <w:t>60</w:t>
      </w:r>
      <w:r w:rsidRPr="005A42C4">
        <w:rPr>
          <w:rFonts w:ascii="Cambria" w:hAnsi="Cambria"/>
          <w:lang w:val="en-GB"/>
        </w:rPr>
        <w:t xml:space="preserve"> - </w:t>
      </w:r>
      <w:r w:rsidRPr="00EB5F46">
        <w:rPr>
          <w:rFonts w:ascii="Cambria" w:hAnsi="Cambria"/>
          <w:caps/>
          <w:lang w:val="en-GB"/>
        </w:rPr>
        <w:t>Financial guarantees received</w:t>
      </w:r>
    </w:p>
    <w:p w14:paraId="23F1970B" w14:textId="77777777" w:rsidR="001C2CF0" w:rsidRPr="00F66B5C" w:rsidRDefault="001C2CF0" w:rsidP="001C2CF0">
      <w:pPr>
        <w:rPr>
          <w:rFonts w:ascii="Cambria" w:hAnsi="Cambria"/>
          <w:lang w:val="en-GB"/>
        </w:rPr>
      </w:pPr>
      <w:r w:rsidRPr="00F66B5C">
        <w:rPr>
          <w:rFonts w:ascii="Cambria" w:hAnsi="Cambria"/>
          <w:lang w:val="en-GB"/>
        </w:rPr>
        <w:t>As defined in FINREP, template F09.02.</w:t>
      </w:r>
    </w:p>
    <w:p w14:paraId="37FC2D14" w14:textId="3D06D588" w:rsidR="00EB5F46" w:rsidRPr="005A42C4" w:rsidRDefault="00EB5F46" w:rsidP="00EB5F46">
      <w:pPr>
        <w:pStyle w:val="Heading4"/>
        <w:rPr>
          <w:rFonts w:ascii="Cambria" w:hAnsi="Cambria"/>
          <w:lang w:val="en-GB"/>
        </w:rPr>
      </w:pPr>
      <w:r w:rsidRPr="005A42C4">
        <w:rPr>
          <w:rFonts w:ascii="Cambria" w:hAnsi="Cambria"/>
          <w:lang w:val="en-GB"/>
        </w:rPr>
        <w:t>r07</w:t>
      </w:r>
      <w:r>
        <w:rPr>
          <w:rFonts w:ascii="Cambria" w:hAnsi="Cambria"/>
          <w:lang w:val="en-GB"/>
        </w:rPr>
        <w:t>70</w:t>
      </w:r>
      <w:r w:rsidRPr="005A42C4">
        <w:rPr>
          <w:rFonts w:ascii="Cambria" w:hAnsi="Cambria"/>
          <w:lang w:val="en-GB"/>
        </w:rPr>
        <w:t xml:space="preserve"> - </w:t>
      </w:r>
      <w:r w:rsidRPr="00EB5F46">
        <w:rPr>
          <w:rFonts w:ascii="Cambria" w:hAnsi="Cambria"/>
          <w:caps/>
          <w:lang w:val="en-GB"/>
        </w:rPr>
        <w:t>Other commitments received</w:t>
      </w:r>
    </w:p>
    <w:p w14:paraId="63B4BB40" w14:textId="77777777" w:rsidR="001C2CF0" w:rsidRPr="00F66B5C" w:rsidRDefault="001C2CF0" w:rsidP="001C2CF0">
      <w:pPr>
        <w:rPr>
          <w:rFonts w:ascii="Cambria" w:hAnsi="Cambria"/>
          <w:lang w:val="en-GB"/>
        </w:rPr>
      </w:pPr>
      <w:r w:rsidRPr="00F66B5C">
        <w:rPr>
          <w:rFonts w:ascii="Cambria" w:hAnsi="Cambria"/>
          <w:lang w:val="en-GB"/>
        </w:rPr>
        <w:t>As defined in FINREP, template F09.02.</w:t>
      </w:r>
    </w:p>
    <w:p w14:paraId="05175494" w14:textId="02F771CC" w:rsidR="00EB5F46" w:rsidRPr="005A42C4" w:rsidRDefault="00EB5F46" w:rsidP="00EB5F46">
      <w:pPr>
        <w:pStyle w:val="Heading4"/>
        <w:rPr>
          <w:rFonts w:ascii="Cambria" w:hAnsi="Cambria"/>
          <w:lang w:val="en-GB"/>
        </w:rPr>
      </w:pPr>
      <w:r w:rsidRPr="005A42C4">
        <w:rPr>
          <w:rFonts w:ascii="Cambria" w:hAnsi="Cambria"/>
          <w:lang w:val="en-GB"/>
        </w:rPr>
        <w:t>r07</w:t>
      </w:r>
      <w:r>
        <w:rPr>
          <w:rFonts w:ascii="Cambria" w:hAnsi="Cambria"/>
          <w:lang w:val="en-GB"/>
        </w:rPr>
        <w:t>80</w:t>
      </w:r>
      <w:r w:rsidRPr="005A42C4">
        <w:rPr>
          <w:rFonts w:ascii="Cambria" w:hAnsi="Cambria"/>
          <w:lang w:val="en-GB"/>
        </w:rPr>
        <w:t xml:space="preserve"> - </w:t>
      </w:r>
      <w:r w:rsidRPr="00EB5F46">
        <w:rPr>
          <w:rFonts w:ascii="Cambria" w:hAnsi="Cambria"/>
          <w:caps/>
          <w:lang w:val="en-GB"/>
        </w:rPr>
        <w:t>Derivatives</w:t>
      </w:r>
    </w:p>
    <w:p w14:paraId="4283F47A" w14:textId="77777777" w:rsidR="001C2CF0" w:rsidRPr="00F66B5C" w:rsidRDefault="001C2CF0" w:rsidP="001C2CF0">
      <w:pPr>
        <w:rPr>
          <w:rFonts w:ascii="Cambria" w:hAnsi="Cambria"/>
          <w:lang w:val="en-GB"/>
        </w:rPr>
      </w:pPr>
      <w:r w:rsidRPr="00F66B5C">
        <w:rPr>
          <w:rFonts w:ascii="Cambria" w:hAnsi="Cambria"/>
          <w:lang w:val="en-GB"/>
        </w:rPr>
        <w:t>As defined in FINREP, template F09.02.</w:t>
      </w:r>
    </w:p>
    <w:p w14:paraId="66A7E144" w14:textId="35029FFF" w:rsidR="002951DF" w:rsidRPr="005A42C4" w:rsidRDefault="004725D4" w:rsidP="009474F1">
      <w:pPr>
        <w:pStyle w:val="Heading4"/>
        <w:rPr>
          <w:rFonts w:ascii="Cambria" w:hAnsi="Cambria"/>
          <w:lang w:val="en-GB"/>
        </w:rPr>
      </w:pPr>
      <w:r w:rsidRPr="005A42C4">
        <w:rPr>
          <w:rFonts w:ascii="Cambria" w:hAnsi="Cambria"/>
          <w:lang w:val="en-GB"/>
        </w:rPr>
        <w:t>r08</w:t>
      </w:r>
      <w:r w:rsidR="009B56D9" w:rsidRPr="005A42C4">
        <w:rPr>
          <w:rFonts w:ascii="Cambria" w:hAnsi="Cambria"/>
          <w:lang w:val="en-GB"/>
        </w:rPr>
        <w:t>00</w:t>
      </w:r>
      <w:r w:rsidR="00C06EF0" w:rsidRPr="005A42C4">
        <w:rPr>
          <w:rFonts w:ascii="Cambria" w:hAnsi="Cambria"/>
          <w:lang w:val="en-GB"/>
        </w:rPr>
        <w:t xml:space="preserve"> - </w:t>
      </w:r>
      <w:r w:rsidR="002951DF" w:rsidRPr="005A42C4">
        <w:rPr>
          <w:rFonts w:ascii="Cambria" w:hAnsi="Cambria"/>
          <w:caps/>
          <w:lang w:val="en-GB"/>
        </w:rPr>
        <w:t>Total equity</w:t>
      </w:r>
    </w:p>
    <w:p w14:paraId="3E478E12" w14:textId="0F405759" w:rsidR="00D644D5" w:rsidRDefault="00D644D5" w:rsidP="009474F1">
      <w:pPr>
        <w:rPr>
          <w:rFonts w:ascii="Cambria" w:hAnsi="Cambria"/>
          <w:lang w:val="en-GB"/>
        </w:rPr>
      </w:pPr>
      <w:r>
        <w:rPr>
          <w:rFonts w:ascii="Cambria" w:hAnsi="Cambria"/>
          <w:lang w:val="en-GB"/>
        </w:rPr>
        <w:t>(</w:t>
      </w:r>
      <w:r w:rsidRPr="005A42C4">
        <w:rPr>
          <w:rFonts w:ascii="Cambria" w:hAnsi="Cambria"/>
          <w:lang w:val="en-GB"/>
        </w:rPr>
        <w:t>FINREP F01.03-300-010</w:t>
      </w:r>
      <w:r>
        <w:rPr>
          <w:rFonts w:ascii="Cambria" w:hAnsi="Cambria"/>
          <w:lang w:val="en-GB"/>
        </w:rPr>
        <w:t>) for the carrying amount.</w:t>
      </w:r>
    </w:p>
    <w:p w14:paraId="5179D720" w14:textId="07426EEB" w:rsidR="002951DF" w:rsidRPr="005A42C4" w:rsidRDefault="002951DF" w:rsidP="009474F1">
      <w:pPr>
        <w:rPr>
          <w:rFonts w:ascii="Cambria" w:hAnsi="Cambria"/>
          <w:lang w:val="en-GB"/>
        </w:rPr>
      </w:pPr>
      <w:r w:rsidRPr="005A42C4">
        <w:rPr>
          <w:rFonts w:ascii="Cambria" w:hAnsi="Cambria"/>
          <w:lang w:val="en-GB"/>
        </w:rPr>
        <w:t>This total should equal the total equity of the balance sheet.</w:t>
      </w:r>
    </w:p>
    <w:p w14:paraId="4A3ED645" w14:textId="283C3329" w:rsidR="00E20340" w:rsidRPr="005A42C4" w:rsidRDefault="004725D4" w:rsidP="009474F1">
      <w:pPr>
        <w:pStyle w:val="Heading4"/>
        <w:rPr>
          <w:rFonts w:ascii="Cambria" w:hAnsi="Cambria"/>
          <w:lang w:val="en-GB"/>
        </w:rPr>
      </w:pPr>
      <w:r w:rsidRPr="005A42C4">
        <w:rPr>
          <w:rFonts w:ascii="Cambria" w:hAnsi="Cambria"/>
          <w:lang w:val="en-GB"/>
        </w:rPr>
        <w:lastRenderedPageBreak/>
        <w:t>r09</w:t>
      </w:r>
      <w:r w:rsidR="009B56D9" w:rsidRPr="005A42C4">
        <w:rPr>
          <w:rFonts w:ascii="Cambria" w:hAnsi="Cambria"/>
          <w:lang w:val="en-GB"/>
        </w:rPr>
        <w:t xml:space="preserve">00 </w:t>
      </w:r>
      <w:r w:rsidR="00E20340" w:rsidRPr="005A42C4">
        <w:rPr>
          <w:rFonts w:ascii="Cambria" w:hAnsi="Cambria"/>
          <w:lang w:val="en-GB"/>
        </w:rPr>
        <w:t xml:space="preserve">- </w:t>
      </w:r>
      <w:r w:rsidR="00E20340" w:rsidRPr="005A42C4">
        <w:rPr>
          <w:rFonts w:ascii="Cambria" w:hAnsi="Cambria"/>
          <w:caps/>
          <w:lang w:val="en-GB"/>
        </w:rPr>
        <w:t>Total assets</w:t>
      </w:r>
    </w:p>
    <w:p w14:paraId="4A3ED638" w14:textId="18D6DDA5" w:rsidR="002C021E" w:rsidRDefault="002C021E" w:rsidP="009474F1">
      <w:pPr>
        <w:rPr>
          <w:rFonts w:ascii="Cambria" w:hAnsi="Cambria"/>
          <w:lang w:val="en-GB"/>
        </w:rPr>
      </w:pPr>
      <w:r>
        <w:rPr>
          <w:rFonts w:ascii="Cambria" w:hAnsi="Cambria"/>
          <w:lang w:val="en-GB"/>
        </w:rPr>
        <w:t>(</w:t>
      </w:r>
      <w:r w:rsidRPr="005A42C4">
        <w:rPr>
          <w:rFonts w:ascii="Cambria" w:hAnsi="Cambria"/>
          <w:lang w:val="en-GB"/>
        </w:rPr>
        <w:t>FINREP F01.01-380-010</w:t>
      </w:r>
      <w:r>
        <w:rPr>
          <w:rFonts w:ascii="Cambria" w:hAnsi="Cambria"/>
          <w:lang w:val="en-GB"/>
        </w:rPr>
        <w:t>) for the carrying amount.</w:t>
      </w:r>
    </w:p>
    <w:p w14:paraId="67AEE144" w14:textId="1B593136" w:rsidR="00E20340" w:rsidRPr="005A42C4" w:rsidRDefault="00E20340" w:rsidP="009474F1">
      <w:pPr>
        <w:rPr>
          <w:rFonts w:ascii="Cambria" w:hAnsi="Cambria"/>
          <w:lang w:val="en-GB"/>
        </w:rPr>
      </w:pPr>
      <w:r w:rsidRPr="005A42C4">
        <w:rPr>
          <w:rFonts w:ascii="Cambria" w:hAnsi="Cambria"/>
          <w:lang w:val="en-GB"/>
        </w:rPr>
        <w:t>This total should equal the total assets of the balance sheet.</w:t>
      </w:r>
    </w:p>
    <w:p w14:paraId="3B04E37E" w14:textId="5555B582" w:rsidR="00E20340" w:rsidRPr="005A42C4" w:rsidRDefault="004725D4" w:rsidP="009474F1">
      <w:pPr>
        <w:pStyle w:val="Heading4"/>
        <w:rPr>
          <w:rFonts w:ascii="Cambria" w:hAnsi="Cambria"/>
          <w:lang w:val="en-GB"/>
        </w:rPr>
      </w:pPr>
      <w:r w:rsidRPr="005A42C4">
        <w:rPr>
          <w:rFonts w:ascii="Cambria" w:hAnsi="Cambria"/>
          <w:lang w:val="en-GB"/>
        </w:rPr>
        <w:t>r</w:t>
      </w:r>
      <w:r w:rsidR="00DA3A5D" w:rsidRPr="005A42C4">
        <w:rPr>
          <w:rFonts w:ascii="Cambria" w:hAnsi="Cambria"/>
          <w:lang w:val="en-GB"/>
        </w:rPr>
        <w:t>1</w:t>
      </w:r>
      <w:r w:rsidR="009B56D9" w:rsidRPr="005A42C4">
        <w:rPr>
          <w:rFonts w:ascii="Cambria" w:hAnsi="Cambria"/>
          <w:lang w:val="en-GB"/>
        </w:rPr>
        <w:t>0</w:t>
      </w:r>
      <w:r w:rsidR="00E20340" w:rsidRPr="005A42C4">
        <w:rPr>
          <w:rFonts w:ascii="Cambria" w:hAnsi="Cambria"/>
          <w:lang w:val="en-GB"/>
        </w:rPr>
        <w:t xml:space="preserve">00 - </w:t>
      </w:r>
      <w:r w:rsidR="00E20340" w:rsidRPr="005A42C4">
        <w:rPr>
          <w:rFonts w:ascii="Cambria" w:hAnsi="Cambria"/>
          <w:caps/>
          <w:lang w:val="en-GB"/>
        </w:rPr>
        <w:t>Leverage exposure</w:t>
      </w:r>
    </w:p>
    <w:p w14:paraId="31195ECA" w14:textId="50FC92B9" w:rsidR="002C021E" w:rsidRDefault="002C021E" w:rsidP="009474F1">
      <w:pPr>
        <w:rPr>
          <w:rFonts w:ascii="Cambria" w:hAnsi="Cambria"/>
          <w:lang w:val="en-GB"/>
        </w:rPr>
      </w:pPr>
      <w:r w:rsidRPr="005A42C4">
        <w:rPr>
          <w:rFonts w:ascii="Cambria" w:hAnsi="Cambria"/>
          <w:lang w:val="en-GB"/>
        </w:rPr>
        <w:t>(COREP C47.00-290-010)</w:t>
      </w:r>
    </w:p>
    <w:p w14:paraId="459820EE" w14:textId="2BC7F547" w:rsidR="00E20340" w:rsidRPr="005A42C4" w:rsidRDefault="00E20340" w:rsidP="009474F1">
      <w:pPr>
        <w:rPr>
          <w:rFonts w:ascii="Cambria" w:hAnsi="Cambria"/>
          <w:lang w:val="en-GB"/>
        </w:rPr>
      </w:pPr>
      <w:r w:rsidRPr="005A42C4">
        <w:rPr>
          <w:rFonts w:ascii="Cambria" w:hAnsi="Cambria"/>
          <w:lang w:val="en-GB"/>
        </w:rPr>
        <w:t>The total exposure measure as defined in article 429 of the CRR.</w:t>
      </w:r>
    </w:p>
    <w:p w14:paraId="34F5E62C" w14:textId="77777777" w:rsidR="002B5DBA" w:rsidRPr="005A42C4" w:rsidRDefault="002B5DBA" w:rsidP="00B27610">
      <w:pPr>
        <w:pStyle w:val="Heading3"/>
        <w:numPr>
          <w:ilvl w:val="0"/>
          <w:numId w:val="22"/>
        </w:numPr>
        <w:ind w:left="426" w:hanging="426"/>
        <w:rPr>
          <w:rFonts w:ascii="Cambria" w:hAnsi="Cambria"/>
          <w:lang w:val="en-GB"/>
        </w:rPr>
      </w:pPr>
      <w:bookmarkStart w:id="143" w:name="_Toc525720267"/>
      <w:bookmarkStart w:id="144" w:name="_Toc525720507"/>
      <w:bookmarkStart w:id="145" w:name="_Toc525720268"/>
      <w:bookmarkStart w:id="146" w:name="_Toc525720508"/>
      <w:bookmarkStart w:id="147" w:name="_Toc525720269"/>
      <w:bookmarkStart w:id="148" w:name="_Toc525720509"/>
      <w:bookmarkStart w:id="149" w:name="_Toc525720270"/>
      <w:bookmarkStart w:id="150" w:name="_Toc525720510"/>
      <w:bookmarkStart w:id="151" w:name="_Toc525720271"/>
      <w:bookmarkStart w:id="152" w:name="_Toc525720511"/>
      <w:bookmarkStart w:id="153" w:name="_Toc525720272"/>
      <w:bookmarkStart w:id="154" w:name="_Toc525720512"/>
      <w:bookmarkStart w:id="155" w:name="_Toc525720273"/>
      <w:bookmarkStart w:id="156" w:name="_Toc525720513"/>
      <w:bookmarkStart w:id="157" w:name="_Toc525720274"/>
      <w:bookmarkStart w:id="158" w:name="_Toc525720514"/>
      <w:bookmarkStart w:id="159" w:name="_Toc525720275"/>
      <w:bookmarkStart w:id="160" w:name="_Toc525720515"/>
      <w:bookmarkStart w:id="161" w:name="_Toc525720276"/>
      <w:bookmarkStart w:id="162" w:name="_Toc525720516"/>
      <w:bookmarkStart w:id="163" w:name="_Toc525720277"/>
      <w:bookmarkStart w:id="164" w:name="_Toc525720517"/>
      <w:bookmarkStart w:id="165" w:name="_Toc525720279"/>
      <w:bookmarkStart w:id="166" w:name="_Toc525720519"/>
      <w:bookmarkStart w:id="167" w:name="_Toc525720280"/>
      <w:bookmarkStart w:id="168" w:name="_Toc525720520"/>
      <w:bookmarkStart w:id="169" w:name="_Toc525720281"/>
      <w:bookmarkStart w:id="170" w:name="_Toc525720521"/>
      <w:bookmarkStart w:id="171" w:name="_Toc525720282"/>
      <w:bookmarkStart w:id="172" w:name="_Toc525720522"/>
      <w:bookmarkStart w:id="173" w:name="_Toc525720283"/>
      <w:bookmarkStart w:id="174" w:name="_Toc525720523"/>
      <w:bookmarkStart w:id="175" w:name="_Toc525720284"/>
      <w:bookmarkStart w:id="176" w:name="_Toc525720524"/>
      <w:bookmarkStart w:id="177" w:name="_Toc525720285"/>
      <w:bookmarkStart w:id="178" w:name="_Toc525720525"/>
      <w:bookmarkStart w:id="179" w:name="_Toc525720286"/>
      <w:bookmarkStart w:id="180" w:name="_Toc525720526"/>
      <w:bookmarkStart w:id="181" w:name="_Toc525720287"/>
      <w:bookmarkStart w:id="182" w:name="_Toc525720527"/>
      <w:bookmarkStart w:id="183" w:name="_Toc525720288"/>
      <w:bookmarkStart w:id="184" w:name="_Toc525720528"/>
      <w:bookmarkStart w:id="185" w:name="_Toc525720289"/>
      <w:bookmarkStart w:id="186" w:name="_Toc525720529"/>
      <w:bookmarkStart w:id="187" w:name="_Toc525720290"/>
      <w:bookmarkStart w:id="188" w:name="_Toc525720530"/>
      <w:bookmarkStart w:id="189" w:name="_Toc525720291"/>
      <w:bookmarkStart w:id="190" w:name="_Toc525720531"/>
      <w:bookmarkStart w:id="191" w:name="_Toc525720292"/>
      <w:bookmarkStart w:id="192" w:name="_Toc525720532"/>
      <w:bookmarkStart w:id="193" w:name="_Toc12973023"/>
      <w:bookmarkStart w:id="194" w:name="_Toc1375575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5A42C4">
        <w:rPr>
          <w:rFonts w:ascii="Cambria" w:hAnsi="Cambria"/>
          <w:lang w:val="en-GB"/>
        </w:rPr>
        <w:t>T02.00</w:t>
      </w:r>
      <w:r w:rsidR="009202A4" w:rsidRPr="005A42C4">
        <w:rPr>
          <w:rFonts w:ascii="Cambria" w:hAnsi="Cambria"/>
          <w:lang w:val="en-GB"/>
        </w:rPr>
        <w:t xml:space="preserve"> - Own Funds</w:t>
      </w:r>
      <w:bookmarkEnd w:id="193"/>
      <w:bookmarkEnd w:id="194"/>
    </w:p>
    <w:p w14:paraId="1DE09157" w14:textId="7DDBEC4A" w:rsidR="00B9129C" w:rsidRDefault="00B9129C" w:rsidP="00B9129C">
      <w:pPr>
        <w:rPr>
          <w:rFonts w:ascii="Cambria" w:hAnsi="Cambria"/>
          <w:lang w:val="en-GB"/>
        </w:rPr>
      </w:pPr>
      <w:r>
        <w:rPr>
          <w:rFonts w:ascii="Cambria" w:hAnsi="Cambria"/>
          <w:lang w:val="en-GB"/>
        </w:rPr>
        <w:t>This template covers the reporting requirements for CIR 2018/1624 template Z 03.00 “Own Funds Requirements”.</w:t>
      </w:r>
    </w:p>
    <w:p w14:paraId="588BFBDA" w14:textId="5D486619" w:rsidR="00FF0F87" w:rsidRPr="005A42C4" w:rsidRDefault="00FF0F87" w:rsidP="005A42C4">
      <w:pPr>
        <w:pStyle w:val="Heading4"/>
        <w:rPr>
          <w:rFonts w:ascii="Cambria" w:hAnsi="Cambria"/>
          <w:lang w:val="en-GB"/>
        </w:rPr>
      </w:pPr>
      <w:r w:rsidRPr="005A42C4">
        <w:rPr>
          <w:rFonts w:ascii="Cambria" w:hAnsi="Cambria"/>
          <w:lang w:val="en-GB"/>
        </w:rPr>
        <w:t>Note that</w:t>
      </w:r>
      <w:r w:rsidR="00661A49">
        <w:rPr>
          <w:rFonts w:ascii="Cambria" w:hAnsi="Cambria"/>
          <w:lang w:val="en-GB"/>
        </w:rPr>
        <w:t>, excepting r0110 (see instructions below),</w:t>
      </w:r>
      <w:r w:rsidRPr="005A42C4">
        <w:rPr>
          <w:rFonts w:ascii="Cambria" w:hAnsi="Cambria"/>
          <w:lang w:val="en-GB"/>
        </w:rPr>
        <w:t xml:space="preserve"> ALL fields in T02.00 must be filled.</w:t>
      </w:r>
    </w:p>
    <w:p w14:paraId="0D49BA2F" w14:textId="2BDE0F77" w:rsidR="00843E16" w:rsidRDefault="00843E16" w:rsidP="007025A8">
      <w:pPr>
        <w:rPr>
          <w:rFonts w:ascii="Cambria" w:hAnsi="Cambria"/>
          <w:lang w:val="en-GB"/>
        </w:rPr>
      </w:pPr>
      <w:r w:rsidRPr="005A42C4">
        <w:rPr>
          <w:rFonts w:ascii="Cambria" w:hAnsi="Cambria"/>
          <w:lang w:val="en-GB"/>
        </w:rPr>
        <w:t xml:space="preserve">The data reported in this section should be based </w:t>
      </w:r>
      <w:r w:rsidR="007A2278">
        <w:rPr>
          <w:rFonts w:ascii="Cambria" w:hAnsi="Cambria"/>
          <w:lang w:val="en-GB"/>
        </w:rPr>
        <w:t xml:space="preserve">on </w:t>
      </w:r>
      <w:r w:rsidR="00D357A9" w:rsidRPr="005A42C4">
        <w:rPr>
          <w:rFonts w:ascii="Cambria" w:hAnsi="Cambria"/>
          <w:lang w:val="en-GB"/>
        </w:rPr>
        <w:t>the existing final SREP 201</w:t>
      </w:r>
      <w:r w:rsidR="00724069">
        <w:rPr>
          <w:rFonts w:ascii="Cambria" w:hAnsi="Cambria"/>
          <w:lang w:val="en-GB"/>
        </w:rPr>
        <w:t>9</w:t>
      </w:r>
      <w:r w:rsidR="00D357A9" w:rsidRPr="005A42C4">
        <w:rPr>
          <w:rFonts w:ascii="Cambria" w:hAnsi="Cambria"/>
          <w:lang w:val="en-GB"/>
        </w:rPr>
        <w:t xml:space="preserve"> decision as communicated by the competent authorities to the institutions, applicable as of 20</w:t>
      </w:r>
      <w:r w:rsidR="00724069">
        <w:rPr>
          <w:rFonts w:ascii="Cambria" w:hAnsi="Cambria"/>
          <w:lang w:val="en-GB"/>
        </w:rPr>
        <w:t>20</w:t>
      </w:r>
      <w:r w:rsidR="00D357A9" w:rsidRPr="005A42C4">
        <w:rPr>
          <w:rFonts w:ascii="Cambria" w:hAnsi="Cambria"/>
          <w:lang w:val="en-GB"/>
        </w:rPr>
        <w:t>.</w:t>
      </w:r>
    </w:p>
    <w:p w14:paraId="01040F7E" w14:textId="6A402E5D" w:rsidR="00724069" w:rsidRPr="005A42C4" w:rsidRDefault="00724069" w:rsidP="007025A8">
      <w:pPr>
        <w:rPr>
          <w:rFonts w:ascii="Cambria" w:hAnsi="Cambria"/>
          <w:lang w:val="en-GB"/>
        </w:rPr>
      </w:pPr>
      <w:commentRangeStart w:id="195"/>
      <w:r>
        <w:rPr>
          <w:rFonts w:ascii="Cambria" w:hAnsi="Cambria"/>
          <w:lang w:val="en-GB"/>
        </w:rPr>
        <w:t>As at the reporting date (31-12-2019), the transitional values (c0010) should equal the fully phased-in values (c0020) except in the event additional transitional requirements exist at the national level.</w:t>
      </w:r>
      <w:commentRangeEnd w:id="195"/>
      <w:r w:rsidR="004A1962">
        <w:rPr>
          <w:rStyle w:val="CommentReference"/>
          <w:rFonts w:ascii="Cambria" w:eastAsia="MS Mincho" w:hAnsi="Cambria" w:cs="Times New Roman"/>
          <w:lang w:val="en-US"/>
        </w:rPr>
        <w:commentReference w:id="195"/>
      </w:r>
    </w:p>
    <w:p w14:paraId="60784456" w14:textId="77777777" w:rsidR="00CD5A05" w:rsidRPr="005A42C4" w:rsidRDefault="00CD5A05" w:rsidP="003A24E8">
      <w:pPr>
        <w:rPr>
          <w:rFonts w:ascii="Cambria" w:hAnsi="Cambria"/>
          <w:lang w:val="en-GB"/>
        </w:rPr>
      </w:pPr>
    </w:p>
    <w:p w14:paraId="35E91A35" w14:textId="77777777" w:rsidR="006C3E4E" w:rsidRDefault="003A24E8" w:rsidP="003A24E8">
      <w:pPr>
        <w:rPr>
          <w:rFonts w:ascii="Cambria" w:hAnsi="Cambria"/>
          <w:lang w:val="en-GB"/>
        </w:rPr>
      </w:pPr>
      <w:r w:rsidRPr="005A42C4">
        <w:rPr>
          <w:rFonts w:ascii="Cambria" w:hAnsi="Cambria"/>
          <w:lang w:val="en-GB"/>
        </w:rPr>
        <w:t>If a reporting entity is not subject to individual own funds requirements, it has to fill in the contribution of the entity to the consolidated prudential own funds. Such a contribution has to be reported in the COREP template 6.2 about the information on the contribution of entities to solvency of the group</w:t>
      </w:r>
      <w:r w:rsidR="00A42E05" w:rsidRPr="005A42C4">
        <w:rPr>
          <w:rFonts w:ascii="Cambria" w:hAnsi="Cambria"/>
          <w:lang w:val="en-GB"/>
        </w:rPr>
        <w:t xml:space="preserve"> and can be a negative number</w:t>
      </w:r>
      <w:r w:rsidRPr="005A42C4">
        <w:rPr>
          <w:rFonts w:ascii="Cambria" w:hAnsi="Cambria"/>
          <w:lang w:val="en-GB"/>
        </w:rPr>
        <w:t>.</w:t>
      </w:r>
    </w:p>
    <w:p w14:paraId="00E277FB" w14:textId="4134D4F7" w:rsidR="003A24E8" w:rsidRPr="005A42C4" w:rsidRDefault="006C3E4E" w:rsidP="003A24E8">
      <w:pPr>
        <w:rPr>
          <w:rFonts w:ascii="Cambria" w:hAnsi="Cambria"/>
          <w:lang w:val="en-GB"/>
        </w:rPr>
      </w:pPr>
      <w:r>
        <w:rPr>
          <w:rFonts w:ascii="Cambria" w:hAnsi="Cambria"/>
          <w:lang w:val="en-GB"/>
        </w:rPr>
        <w:t>For banks reporting within the scope “Resolution Group”, for which there are no capital requirements, the Pillar 2 Requirements (r0310), Pillar 2 Guidance (r0320) and Capital Buffer Requirements (r0400) should be that of the Group at the consolidated level.</w:t>
      </w:r>
    </w:p>
    <w:p w14:paraId="430FCF46" w14:textId="77777777" w:rsidR="005517E2" w:rsidRPr="005A42C4" w:rsidRDefault="005517E2" w:rsidP="005517E2">
      <w:pPr>
        <w:pStyle w:val="Heading4"/>
        <w:rPr>
          <w:rFonts w:ascii="Cambria" w:hAnsi="Cambria"/>
          <w:u w:val="single"/>
          <w:lang w:val="en-GB"/>
        </w:rPr>
      </w:pPr>
      <w:bookmarkStart w:id="196" w:name="_Toc446348100"/>
      <w:r w:rsidRPr="005A42C4">
        <w:rPr>
          <w:rFonts w:ascii="Cambria" w:hAnsi="Cambria"/>
          <w:u w:val="single"/>
          <w:lang w:val="en-GB"/>
        </w:rPr>
        <w:t>Columns</w:t>
      </w:r>
    </w:p>
    <w:p w14:paraId="508F8399" w14:textId="77777777" w:rsidR="005517E2" w:rsidRPr="005A42C4" w:rsidRDefault="005517E2" w:rsidP="005517E2">
      <w:pPr>
        <w:pStyle w:val="Heading4"/>
        <w:rPr>
          <w:rFonts w:ascii="Cambria" w:hAnsi="Cambria"/>
          <w:lang w:val="en-GB"/>
        </w:rPr>
      </w:pPr>
      <w:r w:rsidRPr="005A42C4">
        <w:rPr>
          <w:rFonts w:ascii="Cambria" w:hAnsi="Cambria"/>
          <w:lang w:val="en-GB"/>
        </w:rPr>
        <w:t>c0010 - Transitional</w:t>
      </w:r>
    </w:p>
    <w:p w14:paraId="2CB87640" w14:textId="77777777" w:rsidR="005517E2" w:rsidRPr="005A42C4" w:rsidRDefault="005517E2" w:rsidP="005517E2">
      <w:pPr>
        <w:rPr>
          <w:rFonts w:ascii="Cambria" w:hAnsi="Cambria"/>
          <w:lang w:val="en-GB"/>
        </w:rPr>
      </w:pPr>
      <w:r w:rsidRPr="005A42C4">
        <w:rPr>
          <w:rFonts w:ascii="Cambria" w:hAnsi="Cambria"/>
          <w:lang w:val="en-GB"/>
        </w:rPr>
        <w:t>The current regime reflects all the transitional policy options/discretions from the CRD IV/CRR that the competent authorities have adopted. Due to these discretions, the current regime own funds and requirements cannot be considered as harmonised, even if they represent the actual supervisory regime that is applicable to the entity.</w:t>
      </w:r>
    </w:p>
    <w:p w14:paraId="3B9D3DC8" w14:textId="77777777" w:rsidR="005517E2" w:rsidRPr="005A42C4" w:rsidRDefault="005517E2" w:rsidP="005517E2">
      <w:pPr>
        <w:pStyle w:val="Heading4"/>
        <w:rPr>
          <w:rFonts w:ascii="Cambria" w:hAnsi="Cambria"/>
          <w:lang w:val="en-GB"/>
        </w:rPr>
      </w:pPr>
      <w:r w:rsidRPr="005A42C4">
        <w:rPr>
          <w:rFonts w:ascii="Cambria" w:hAnsi="Cambria"/>
          <w:lang w:val="en-GB"/>
        </w:rPr>
        <w:t>c0020 - Fully Loaded</w:t>
      </w:r>
    </w:p>
    <w:p w14:paraId="1A57F4E7" w14:textId="77777777" w:rsidR="005517E2" w:rsidRPr="005A42C4" w:rsidRDefault="005517E2" w:rsidP="005517E2">
      <w:pPr>
        <w:rPr>
          <w:rFonts w:ascii="Cambria" w:hAnsi="Cambria"/>
          <w:lang w:val="en-GB"/>
        </w:rPr>
      </w:pPr>
      <w:r w:rsidRPr="005A42C4">
        <w:rPr>
          <w:rFonts w:ascii="Cambria" w:hAnsi="Cambria"/>
          <w:lang w:val="en-GB"/>
        </w:rPr>
        <w:t>A fully loaded view on own funds requirements should disregard all the phase-out/phase-in discretions that have been applied by the competent authority and thus provide for a homogeneous view of own funds requirements across all jurisdictions, i.e. give a harmonized view of requirements irrespective of the use of policy options/discretions.</w:t>
      </w:r>
    </w:p>
    <w:p w14:paraId="4B8B88E6" w14:textId="77777777" w:rsidR="005517E2" w:rsidRPr="005A42C4" w:rsidRDefault="005517E2" w:rsidP="009474F1">
      <w:pPr>
        <w:pStyle w:val="Heading4"/>
        <w:rPr>
          <w:rFonts w:ascii="Cambria" w:hAnsi="Cambria"/>
          <w:u w:val="single"/>
          <w:lang w:val="en-GB"/>
        </w:rPr>
      </w:pPr>
    </w:p>
    <w:p w14:paraId="0B217868" w14:textId="77777777" w:rsidR="004F2346" w:rsidRPr="005A42C4" w:rsidRDefault="004F2346" w:rsidP="009474F1">
      <w:pPr>
        <w:pStyle w:val="Heading4"/>
        <w:rPr>
          <w:rFonts w:ascii="Cambria" w:hAnsi="Cambria"/>
          <w:u w:val="single"/>
          <w:lang w:val="en-GB"/>
        </w:rPr>
      </w:pPr>
      <w:r w:rsidRPr="005A42C4">
        <w:rPr>
          <w:rFonts w:ascii="Cambria" w:hAnsi="Cambria"/>
          <w:u w:val="single"/>
          <w:lang w:val="en-GB"/>
        </w:rPr>
        <w:t>Lines</w:t>
      </w:r>
    </w:p>
    <w:p w14:paraId="1E14E54F" w14:textId="5D0FB721" w:rsidR="002B5DBA" w:rsidRPr="005A42C4" w:rsidRDefault="00DA3A5D" w:rsidP="009474F1">
      <w:pPr>
        <w:pStyle w:val="Heading4"/>
        <w:rPr>
          <w:rFonts w:ascii="Cambria" w:hAnsi="Cambria"/>
          <w:lang w:val="en-GB"/>
        </w:rPr>
      </w:pPr>
      <w:r w:rsidRPr="005A42C4">
        <w:rPr>
          <w:rFonts w:ascii="Cambria" w:hAnsi="Cambria"/>
          <w:lang w:val="en-GB"/>
        </w:rPr>
        <w:t>r01</w:t>
      </w:r>
      <w:r w:rsidR="00941FBB" w:rsidRPr="005A42C4">
        <w:rPr>
          <w:rFonts w:ascii="Cambria" w:hAnsi="Cambria"/>
          <w:lang w:val="en-GB"/>
        </w:rPr>
        <w:t xml:space="preserve">00 - </w:t>
      </w:r>
      <w:r w:rsidR="002B5DBA" w:rsidRPr="005A42C4">
        <w:rPr>
          <w:rFonts w:ascii="Cambria" w:hAnsi="Cambria"/>
          <w:lang w:val="en-GB"/>
        </w:rPr>
        <w:t>Total Risk Exposure Amount</w:t>
      </w:r>
      <w:bookmarkEnd w:id="196"/>
      <w:r w:rsidR="00B754F1" w:rsidRPr="005A42C4">
        <w:rPr>
          <w:rFonts w:ascii="Cambria" w:hAnsi="Cambria"/>
          <w:lang w:val="en-GB"/>
        </w:rPr>
        <w:t xml:space="preserve"> (EUR)</w:t>
      </w:r>
    </w:p>
    <w:p w14:paraId="00275415" w14:textId="64581D79" w:rsidR="0055051B" w:rsidRDefault="0055051B" w:rsidP="009474F1">
      <w:pPr>
        <w:rPr>
          <w:rFonts w:ascii="Cambria" w:hAnsi="Cambria"/>
          <w:lang w:val="en-GB"/>
        </w:rPr>
      </w:pPr>
      <w:r>
        <w:rPr>
          <w:rFonts w:ascii="Cambria" w:hAnsi="Cambria"/>
          <w:lang w:val="en-GB"/>
        </w:rPr>
        <w:t>(</w:t>
      </w:r>
      <w:r w:rsidRPr="005A42C4">
        <w:rPr>
          <w:rFonts w:ascii="Cambria" w:hAnsi="Cambria"/>
          <w:lang w:val="en-GB"/>
        </w:rPr>
        <w:t>COREP C02.00-010-010</w:t>
      </w:r>
      <w:r>
        <w:rPr>
          <w:rFonts w:ascii="Cambria" w:hAnsi="Cambria"/>
          <w:lang w:val="en-GB"/>
        </w:rPr>
        <w:t>)</w:t>
      </w:r>
    </w:p>
    <w:p w14:paraId="22ADB72B" w14:textId="2517AC36" w:rsidR="002B5DBA" w:rsidRPr="005A42C4" w:rsidRDefault="002B5DBA" w:rsidP="009474F1">
      <w:pPr>
        <w:rPr>
          <w:rFonts w:ascii="Cambria" w:hAnsi="Cambria"/>
          <w:lang w:val="en-GB"/>
        </w:rPr>
      </w:pPr>
      <w:r w:rsidRPr="005A42C4">
        <w:rPr>
          <w:rFonts w:ascii="Cambria" w:hAnsi="Cambria"/>
          <w:lang w:val="en-GB"/>
        </w:rPr>
        <w:t>The total risk exposure amount is equal to the prudential requirements according to article 92 (3) of the CRR.</w:t>
      </w:r>
    </w:p>
    <w:p w14:paraId="36937DA8" w14:textId="39E025C5" w:rsidR="005517E2" w:rsidRPr="005A42C4" w:rsidRDefault="005517E2" w:rsidP="009474F1">
      <w:pPr>
        <w:rPr>
          <w:rFonts w:ascii="Cambria" w:eastAsiaTheme="majorEastAsia" w:hAnsi="Cambria" w:cstheme="majorBidi"/>
          <w:i/>
          <w:iCs/>
          <w:color w:val="2E74B5" w:themeColor="accent1" w:themeShade="BF"/>
          <w:lang w:val="en-GB"/>
        </w:rPr>
      </w:pPr>
      <w:r w:rsidRPr="005A42C4">
        <w:rPr>
          <w:rFonts w:ascii="Cambria" w:eastAsiaTheme="majorEastAsia" w:hAnsi="Cambria" w:cstheme="majorBidi"/>
          <w:i/>
          <w:iCs/>
          <w:color w:val="2E74B5" w:themeColor="accent1" w:themeShade="BF"/>
          <w:lang w:val="en-GB"/>
        </w:rPr>
        <w:t>r0110 - Contribution to Total Risk Exposure Amount (EUR)</w:t>
      </w:r>
    </w:p>
    <w:p w14:paraId="6715D067" w14:textId="6149B4B5" w:rsidR="005517E2" w:rsidRPr="005A42C4" w:rsidRDefault="00CA7FEA" w:rsidP="009474F1">
      <w:pPr>
        <w:rPr>
          <w:rFonts w:ascii="Cambria" w:hAnsi="Cambria"/>
          <w:lang w:val="en-GB"/>
        </w:rPr>
      </w:pPr>
      <w:r w:rsidRPr="005A42C4">
        <w:rPr>
          <w:rFonts w:ascii="Cambria" w:hAnsi="Cambria"/>
          <w:lang w:val="en-GB"/>
        </w:rPr>
        <w:t xml:space="preserve">This value is the equivalent of the above </w:t>
      </w:r>
      <w:r w:rsidR="00F12A9C">
        <w:rPr>
          <w:rFonts w:ascii="Cambria" w:hAnsi="Cambria"/>
          <w:lang w:val="en-GB"/>
        </w:rPr>
        <w:t xml:space="preserve">(T02.00-r0100) </w:t>
      </w:r>
      <w:r w:rsidRPr="005A42C4">
        <w:rPr>
          <w:rFonts w:ascii="Cambria" w:hAnsi="Cambria"/>
          <w:lang w:val="en-GB"/>
        </w:rPr>
        <w:t>but</w:t>
      </w:r>
      <w:r w:rsidR="005517E2" w:rsidRPr="005A42C4">
        <w:rPr>
          <w:rFonts w:ascii="Cambria" w:hAnsi="Cambria"/>
          <w:lang w:val="en-GB"/>
        </w:rPr>
        <w:t xml:space="preserve"> sh</w:t>
      </w:r>
      <w:r w:rsidRPr="005A42C4">
        <w:rPr>
          <w:rFonts w:ascii="Cambria" w:hAnsi="Cambria"/>
          <w:lang w:val="en-GB"/>
        </w:rPr>
        <w:t>ould</w:t>
      </w:r>
      <w:r w:rsidR="005517E2" w:rsidRPr="005A42C4">
        <w:rPr>
          <w:rFonts w:ascii="Cambria" w:hAnsi="Cambria"/>
          <w:lang w:val="en-GB"/>
        </w:rPr>
        <w:t xml:space="preserve"> only be reported for entities that are </w:t>
      </w:r>
      <w:r w:rsidR="005517E2" w:rsidRPr="00054486">
        <w:rPr>
          <w:rFonts w:ascii="Cambria" w:hAnsi="Cambria"/>
          <w:u w:val="single"/>
          <w:lang w:val="en-GB"/>
        </w:rPr>
        <w:t>not</w:t>
      </w:r>
      <w:r w:rsidR="005517E2" w:rsidRPr="005A42C4">
        <w:rPr>
          <w:rFonts w:ascii="Cambria" w:hAnsi="Cambria"/>
          <w:lang w:val="en-GB"/>
        </w:rPr>
        <w:t xml:space="preserve"> subject to capital requirements on an individual basis.</w:t>
      </w:r>
    </w:p>
    <w:p w14:paraId="7D58B5EF" w14:textId="77777777" w:rsidR="002B5DBA" w:rsidRPr="005A42C4" w:rsidRDefault="002B5DBA" w:rsidP="009474F1">
      <w:pPr>
        <w:pStyle w:val="Heading4"/>
        <w:rPr>
          <w:rFonts w:ascii="Cambria" w:hAnsi="Cambria"/>
          <w:lang w:val="en-GB"/>
        </w:rPr>
      </w:pPr>
      <w:bookmarkStart w:id="197" w:name="_Toc446348102"/>
      <w:r w:rsidRPr="005A42C4">
        <w:rPr>
          <w:rFonts w:ascii="Cambria" w:hAnsi="Cambria"/>
          <w:lang w:val="en-GB"/>
        </w:rPr>
        <w:t>Pillar 1 Capital Requirements</w:t>
      </w:r>
      <w:bookmarkEnd w:id="197"/>
    </w:p>
    <w:p w14:paraId="5A0FDF7A" w14:textId="400AFB59" w:rsidR="000B085A" w:rsidRPr="005A42C4" w:rsidRDefault="00DA3A5D" w:rsidP="009474F1">
      <w:pPr>
        <w:pStyle w:val="Heading4"/>
        <w:rPr>
          <w:rFonts w:ascii="Cambria" w:hAnsi="Cambria"/>
          <w:lang w:val="en-GB"/>
        </w:rPr>
      </w:pPr>
      <w:r w:rsidRPr="005A42C4">
        <w:rPr>
          <w:rFonts w:ascii="Cambria" w:hAnsi="Cambria"/>
          <w:lang w:val="en-GB"/>
        </w:rPr>
        <w:t>r02</w:t>
      </w:r>
      <w:r w:rsidR="007D50F0" w:rsidRPr="005A42C4">
        <w:rPr>
          <w:rFonts w:ascii="Cambria" w:hAnsi="Cambria"/>
          <w:lang w:val="en-GB"/>
        </w:rPr>
        <w:t>3</w:t>
      </w:r>
      <w:r w:rsidR="000B085A" w:rsidRPr="005A42C4">
        <w:rPr>
          <w:rFonts w:ascii="Cambria" w:hAnsi="Cambria"/>
          <w:lang w:val="en-GB"/>
        </w:rPr>
        <w:t xml:space="preserve">0 </w:t>
      </w:r>
      <w:commentRangeStart w:id="198"/>
      <w:r w:rsidR="000B085A" w:rsidRPr="005A42C4">
        <w:rPr>
          <w:rFonts w:ascii="Cambria" w:hAnsi="Cambria"/>
          <w:lang w:val="en-GB"/>
        </w:rPr>
        <w:t>- Legal Minimum Capital Requirements (EUR amount - CRD art.12 or national implementation)</w:t>
      </w:r>
      <w:commentRangeEnd w:id="198"/>
      <w:r w:rsidR="0067666A">
        <w:rPr>
          <w:rStyle w:val="CommentReference"/>
          <w:rFonts w:ascii="Cambria" w:eastAsia="MS Mincho" w:hAnsi="Cambria" w:cs="Times New Roman"/>
          <w:i w:val="0"/>
          <w:iCs w:val="0"/>
          <w:color w:val="auto"/>
          <w:lang w:val="en-US"/>
        </w:rPr>
        <w:commentReference w:id="198"/>
      </w:r>
    </w:p>
    <w:p w14:paraId="2DFD3366" w14:textId="77777777" w:rsidR="000B085A" w:rsidRPr="005A42C4" w:rsidRDefault="000B085A" w:rsidP="009474F1">
      <w:pPr>
        <w:rPr>
          <w:rFonts w:ascii="Cambria" w:hAnsi="Cambria"/>
          <w:lang w:val="en-GB"/>
        </w:rPr>
      </w:pPr>
      <w:r w:rsidRPr="005A42C4">
        <w:rPr>
          <w:rFonts w:ascii="Cambria" w:hAnsi="Cambria"/>
          <w:lang w:val="en-GB"/>
        </w:rPr>
        <w:t xml:space="preserve">The legal minimum </w:t>
      </w:r>
      <w:r w:rsidR="001D0921" w:rsidRPr="005A42C4">
        <w:rPr>
          <w:rFonts w:ascii="Cambria" w:hAnsi="Cambria"/>
          <w:lang w:val="en-GB"/>
        </w:rPr>
        <w:t xml:space="preserve">amount of capital </w:t>
      </w:r>
      <w:r w:rsidRPr="005A42C4">
        <w:rPr>
          <w:rFonts w:ascii="Cambria" w:hAnsi="Cambria"/>
          <w:lang w:val="en-GB"/>
        </w:rPr>
        <w:t>referred to in article 12 of the CRD, as transposed into national law.</w:t>
      </w:r>
    </w:p>
    <w:p w14:paraId="65A98EFE" w14:textId="2F811DA6" w:rsidR="00A96E8F" w:rsidRPr="005A42C4" w:rsidRDefault="007A2278" w:rsidP="009474F1">
      <w:pPr>
        <w:pStyle w:val="Heading4"/>
        <w:rPr>
          <w:rFonts w:ascii="Cambria" w:hAnsi="Cambria"/>
          <w:lang w:val="en-GB"/>
        </w:rPr>
      </w:pPr>
      <w:r>
        <w:rPr>
          <w:rFonts w:ascii="Cambria" w:hAnsi="Cambria"/>
          <w:lang w:val="en-GB"/>
        </w:rPr>
        <w:lastRenderedPageBreak/>
        <w:t>r</w:t>
      </w:r>
      <w:r w:rsidR="00DA3A5D" w:rsidRPr="005A42C4">
        <w:rPr>
          <w:rFonts w:ascii="Cambria" w:hAnsi="Cambria"/>
          <w:lang w:val="en-GB"/>
        </w:rPr>
        <w:t>02</w:t>
      </w:r>
      <w:r w:rsidR="007D50F0" w:rsidRPr="005A42C4">
        <w:rPr>
          <w:rFonts w:ascii="Cambria" w:hAnsi="Cambria"/>
          <w:lang w:val="en-GB"/>
        </w:rPr>
        <w:t>40</w:t>
      </w:r>
      <w:r w:rsidR="00A96E8F" w:rsidRPr="005A42C4">
        <w:rPr>
          <w:rFonts w:ascii="Cambria" w:hAnsi="Cambria"/>
          <w:lang w:val="en-GB"/>
        </w:rPr>
        <w:t xml:space="preserve"> - Other Pillar 1 Specific (National) Requirements (%)</w:t>
      </w:r>
    </w:p>
    <w:p w14:paraId="34DF964B" w14:textId="51B8E4CC" w:rsidR="00A96E8F" w:rsidRPr="005A42C4" w:rsidRDefault="00A96E8F" w:rsidP="009474F1">
      <w:pPr>
        <w:rPr>
          <w:rFonts w:ascii="Cambria" w:hAnsi="Cambria"/>
          <w:lang w:val="en-GB"/>
        </w:rPr>
      </w:pPr>
      <w:r w:rsidRPr="005A42C4">
        <w:rPr>
          <w:rFonts w:ascii="Cambria" w:hAnsi="Cambria"/>
          <w:lang w:val="en-GB"/>
        </w:rPr>
        <w:t>Any other requirements that would be imposed by the competent authorities under Pillar 1.</w:t>
      </w:r>
      <w:r w:rsidR="0061541C" w:rsidRPr="005A42C4">
        <w:rPr>
          <w:rFonts w:ascii="Cambria" w:hAnsi="Cambria"/>
          <w:lang w:val="en-GB"/>
        </w:rPr>
        <w:t xml:space="preserve"> Where such requirement is expressed in a nominal amount, entities shall </w:t>
      </w:r>
      <w:r w:rsidR="004B51D2" w:rsidRPr="005A42C4">
        <w:rPr>
          <w:rFonts w:ascii="Cambria" w:hAnsi="Cambria"/>
          <w:lang w:val="en-GB"/>
        </w:rPr>
        <w:t>report</w:t>
      </w:r>
      <w:r w:rsidR="0061541C" w:rsidRPr="005A42C4">
        <w:rPr>
          <w:rFonts w:ascii="Cambria" w:hAnsi="Cambria"/>
          <w:lang w:val="en-GB"/>
        </w:rPr>
        <w:t xml:space="preserve"> this amount as a percentage using its total risk exposure amount in line </w:t>
      </w:r>
      <w:r w:rsidR="00DA3A5D" w:rsidRPr="005A42C4">
        <w:rPr>
          <w:rFonts w:ascii="Cambria" w:hAnsi="Cambria"/>
          <w:lang w:val="en-GB"/>
        </w:rPr>
        <w:t>r01</w:t>
      </w:r>
      <w:r w:rsidR="0061541C" w:rsidRPr="005A42C4">
        <w:rPr>
          <w:rFonts w:ascii="Cambria" w:hAnsi="Cambria"/>
          <w:lang w:val="en-GB"/>
        </w:rPr>
        <w:t>00.</w:t>
      </w:r>
      <w:r w:rsidR="008539D8" w:rsidRPr="005A42C4">
        <w:rPr>
          <w:rFonts w:ascii="Cambria" w:hAnsi="Cambria"/>
          <w:lang w:val="en-GB"/>
        </w:rPr>
        <w:t xml:space="preserve"> Notation shall be done in absolute value, where 1 equals 100% and with minimum 4 decimal numbers detail.</w:t>
      </w:r>
    </w:p>
    <w:p w14:paraId="009583EE" w14:textId="3175092B" w:rsidR="00304E9A" w:rsidRPr="005A42C4" w:rsidRDefault="00DA3A5D" w:rsidP="009474F1">
      <w:pPr>
        <w:pStyle w:val="Heading4"/>
        <w:rPr>
          <w:rFonts w:ascii="Cambria" w:hAnsi="Cambria"/>
          <w:lang w:val="en-GB"/>
        </w:rPr>
      </w:pPr>
      <w:r w:rsidRPr="005A42C4">
        <w:rPr>
          <w:rFonts w:ascii="Cambria" w:hAnsi="Cambria"/>
          <w:lang w:val="en-GB"/>
        </w:rPr>
        <w:t>r02</w:t>
      </w:r>
      <w:r w:rsidR="007D50F0" w:rsidRPr="005A42C4">
        <w:rPr>
          <w:rFonts w:ascii="Cambria" w:hAnsi="Cambria"/>
          <w:lang w:val="en-GB"/>
        </w:rPr>
        <w:t>5</w:t>
      </w:r>
      <w:r w:rsidR="00304E9A" w:rsidRPr="005A42C4">
        <w:rPr>
          <w:rFonts w:ascii="Cambria" w:hAnsi="Cambria"/>
          <w:lang w:val="en-GB"/>
        </w:rPr>
        <w:t>0 - Leverage Ratio Requirement (%)</w:t>
      </w:r>
    </w:p>
    <w:p w14:paraId="02F2FC49" w14:textId="77777777" w:rsidR="00304E9A" w:rsidRPr="005A42C4" w:rsidRDefault="00304E9A" w:rsidP="00B27610">
      <w:pPr>
        <w:rPr>
          <w:rFonts w:ascii="Cambria" w:hAnsi="Cambria"/>
          <w:lang w:val="en-GB"/>
        </w:rPr>
      </w:pPr>
      <w:r w:rsidRPr="005A42C4">
        <w:rPr>
          <w:rFonts w:ascii="Cambria" w:hAnsi="Cambria"/>
          <w:lang w:val="en-GB"/>
        </w:rPr>
        <w:t xml:space="preserve">Any leverage ratio requirement percentage as applicable to the entity or group. If no formal requirement is in place, </w:t>
      </w:r>
      <w:r w:rsidR="00F400B4" w:rsidRPr="005A42C4">
        <w:rPr>
          <w:rFonts w:ascii="Cambria" w:hAnsi="Cambria"/>
          <w:lang w:val="en-GB"/>
        </w:rPr>
        <w:t>entities</w:t>
      </w:r>
      <w:r w:rsidRPr="005A42C4">
        <w:rPr>
          <w:rFonts w:ascii="Cambria" w:hAnsi="Cambria"/>
          <w:lang w:val="en-GB"/>
        </w:rPr>
        <w:t xml:space="preserve"> shall report this requirement to be nil.</w:t>
      </w:r>
      <w:r w:rsidR="008539D8" w:rsidRPr="005A42C4">
        <w:rPr>
          <w:rFonts w:ascii="Cambria" w:hAnsi="Cambria"/>
          <w:lang w:val="en-GB"/>
        </w:rPr>
        <w:t xml:space="preserve"> Notation shall be done in absolute value, where 1 equals 100% and with minimum 4 decimal numbers detail.</w:t>
      </w:r>
    </w:p>
    <w:p w14:paraId="3EC52030" w14:textId="77777777" w:rsidR="00A96E8F" w:rsidRPr="005A42C4" w:rsidRDefault="00A96E8F" w:rsidP="009474F1">
      <w:pPr>
        <w:pStyle w:val="Heading4"/>
        <w:rPr>
          <w:rFonts w:ascii="Cambria" w:hAnsi="Cambria"/>
          <w:lang w:val="en-GB"/>
        </w:rPr>
      </w:pPr>
      <w:r w:rsidRPr="005A42C4">
        <w:rPr>
          <w:rFonts w:ascii="Cambria" w:hAnsi="Cambria"/>
          <w:lang w:val="en-GB"/>
        </w:rPr>
        <w:t>Pillar 2 Capital Requirements</w:t>
      </w:r>
    </w:p>
    <w:p w14:paraId="2B70A219" w14:textId="3EC69354" w:rsidR="00A96E8F"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1</w:t>
      </w:r>
      <w:r w:rsidR="00A96E8F" w:rsidRPr="005A42C4">
        <w:rPr>
          <w:rFonts w:ascii="Cambria" w:hAnsi="Cambria"/>
          <w:lang w:val="en-GB"/>
        </w:rPr>
        <w:t xml:space="preserve">0 - </w:t>
      </w:r>
      <w:r w:rsidR="00E73513" w:rsidRPr="005A42C4">
        <w:rPr>
          <w:rFonts w:ascii="Cambria" w:hAnsi="Cambria"/>
          <w:lang w:val="en-GB"/>
        </w:rPr>
        <w:t>Pillar 2 Requirement (% - Add-on in line with CRD art. 104/1/a)</w:t>
      </w:r>
    </w:p>
    <w:p w14:paraId="1B075D58" w14:textId="4AC1D73B" w:rsidR="00A96E8F" w:rsidRPr="005A42C4" w:rsidRDefault="00A96E8F" w:rsidP="009474F1">
      <w:pPr>
        <w:rPr>
          <w:rFonts w:ascii="Cambria" w:hAnsi="Cambria"/>
          <w:lang w:val="en-GB"/>
        </w:rPr>
      </w:pPr>
      <w:r w:rsidRPr="005A42C4">
        <w:rPr>
          <w:rFonts w:ascii="Cambria" w:hAnsi="Cambria"/>
          <w:lang w:val="en-GB"/>
        </w:rPr>
        <w:t>The percentage add-on (thus excluding minimum requirements and buffers) required to be maintained by competent authorities in line with article 104 (1, a) of the CRD.</w:t>
      </w:r>
      <w:r w:rsidR="00E73513" w:rsidRPr="005A42C4">
        <w:rPr>
          <w:rFonts w:ascii="Cambria" w:hAnsi="Cambria"/>
          <w:lang w:val="en-GB"/>
        </w:rPr>
        <w:t xml:space="preserve"> Pillar 2 requirements are binding and breaches can have direct legal consequences for banks.</w:t>
      </w:r>
      <w:r w:rsidR="0061541C" w:rsidRPr="005A42C4">
        <w:rPr>
          <w:rFonts w:ascii="Cambria" w:hAnsi="Cambria"/>
          <w:lang w:val="en-GB"/>
        </w:rPr>
        <w:t xml:space="preserve"> Where such requirement is expressed in a nominal amount, entities shall </w:t>
      </w:r>
      <w:r w:rsidR="004B51D2" w:rsidRPr="005A42C4">
        <w:rPr>
          <w:rFonts w:ascii="Cambria" w:hAnsi="Cambria"/>
          <w:lang w:val="en-GB"/>
        </w:rPr>
        <w:t>report</w:t>
      </w:r>
      <w:r w:rsidR="0061541C" w:rsidRPr="005A42C4">
        <w:rPr>
          <w:rFonts w:ascii="Cambria" w:hAnsi="Cambria"/>
          <w:lang w:val="en-GB"/>
        </w:rPr>
        <w:t xml:space="preserve"> this amount as a percentage using its total risk exposure amount in line </w:t>
      </w:r>
      <w:r w:rsidR="00DA3A5D" w:rsidRPr="005A42C4">
        <w:rPr>
          <w:rFonts w:ascii="Cambria" w:hAnsi="Cambria"/>
          <w:lang w:val="en-GB"/>
        </w:rPr>
        <w:t>r01</w:t>
      </w:r>
      <w:r w:rsidR="0061541C" w:rsidRPr="005A42C4">
        <w:rPr>
          <w:rFonts w:ascii="Cambria" w:hAnsi="Cambria"/>
          <w:lang w:val="en-GB"/>
        </w:rPr>
        <w:t>00.</w:t>
      </w:r>
      <w:r w:rsidR="008539D8" w:rsidRPr="005A42C4">
        <w:rPr>
          <w:rFonts w:ascii="Cambria" w:hAnsi="Cambria"/>
          <w:lang w:val="en-GB"/>
        </w:rPr>
        <w:t xml:space="preserve"> Notation shall be done in absolute value, where 1 equals 100% and with minimum 4 decimal numbers detail.</w:t>
      </w:r>
    </w:p>
    <w:p w14:paraId="395D8992" w14:textId="2035E1CB" w:rsidR="0008348F" w:rsidRDefault="0008348F" w:rsidP="009474F1">
      <w:pPr>
        <w:pStyle w:val="Heading4"/>
        <w:rPr>
          <w:rFonts w:ascii="Cambria" w:hAnsi="Cambria"/>
          <w:lang w:val="en-GB"/>
        </w:rPr>
      </w:pPr>
      <w:r>
        <w:rPr>
          <w:rFonts w:ascii="Cambria" w:hAnsi="Cambria"/>
          <w:lang w:val="en-GB"/>
        </w:rPr>
        <w:t>r0311 – of which to be met with CET1</w:t>
      </w:r>
    </w:p>
    <w:p w14:paraId="41A1BC47" w14:textId="77777777" w:rsidR="0008348F" w:rsidRPr="0008348F" w:rsidRDefault="0008348F" w:rsidP="0008348F">
      <w:pPr>
        <w:rPr>
          <w:rFonts w:ascii="Cambria" w:hAnsi="Cambria"/>
          <w:lang w:val="en-GB"/>
        </w:rPr>
      </w:pPr>
      <w:r>
        <w:rPr>
          <w:rFonts w:ascii="Cambria" w:hAnsi="Cambria"/>
          <w:lang w:val="en-GB"/>
        </w:rPr>
        <w:t>The percentage of Pillar 2</w:t>
      </w:r>
      <w:r w:rsidRPr="0008348F">
        <w:rPr>
          <w:rFonts w:ascii="Cambria" w:hAnsi="Cambria"/>
          <w:lang w:val="en-GB"/>
        </w:rPr>
        <w:t xml:space="preserve"> </w:t>
      </w:r>
      <w:r>
        <w:rPr>
          <w:rFonts w:ascii="Cambria" w:hAnsi="Cambria"/>
          <w:lang w:val="en-GB"/>
        </w:rPr>
        <w:t>requirements</w:t>
      </w:r>
      <w:r w:rsidRPr="0008348F">
        <w:rPr>
          <w:rFonts w:ascii="Cambria" w:hAnsi="Cambria"/>
          <w:lang w:val="en-GB"/>
        </w:rPr>
        <w:t xml:space="preserve"> to be met with CET 1 eligible instruments.</w:t>
      </w:r>
    </w:p>
    <w:p w14:paraId="4C5047F3" w14:textId="677749BF" w:rsidR="0008348F" w:rsidRDefault="0008348F" w:rsidP="0008348F">
      <w:pPr>
        <w:pStyle w:val="Heading4"/>
        <w:rPr>
          <w:rFonts w:ascii="Cambria" w:hAnsi="Cambria"/>
          <w:lang w:val="en-GB"/>
        </w:rPr>
      </w:pPr>
      <w:r>
        <w:rPr>
          <w:rFonts w:ascii="Cambria" w:hAnsi="Cambria"/>
          <w:lang w:val="en-GB"/>
        </w:rPr>
        <w:t>r0312 – of which to be met with Tier 1</w:t>
      </w:r>
    </w:p>
    <w:p w14:paraId="05ABAABF" w14:textId="0F99C283" w:rsidR="0008348F" w:rsidRPr="0008348F" w:rsidRDefault="0008348F" w:rsidP="0008348F">
      <w:pPr>
        <w:rPr>
          <w:rFonts w:ascii="Cambria" w:hAnsi="Cambria"/>
          <w:lang w:val="en-GB"/>
        </w:rPr>
      </w:pPr>
      <w:r>
        <w:rPr>
          <w:rFonts w:ascii="Cambria" w:hAnsi="Cambria"/>
          <w:lang w:val="en-GB"/>
        </w:rPr>
        <w:t>The percentage of Pillar 2</w:t>
      </w:r>
      <w:r w:rsidRPr="0008348F">
        <w:rPr>
          <w:rFonts w:ascii="Cambria" w:hAnsi="Cambria"/>
          <w:lang w:val="en-GB"/>
        </w:rPr>
        <w:t xml:space="preserve"> </w:t>
      </w:r>
      <w:r>
        <w:rPr>
          <w:rFonts w:ascii="Cambria" w:hAnsi="Cambria"/>
          <w:lang w:val="en-GB"/>
        </w:rPr>
        <w:t>requirements</w:t>
      </w:r>
      <w:r w:rsidRPr="0008348F">
        <w:rPr>
          <w:rFonts w:ascii="Cambria" w:hAnsi="Cambria"/>
          <w:lang w:val="en-GB"/>
        </w:rPr>
        <w:t xml:space="preserve"> to be met with </w:t>
      </w:r>
      <w:r>
        <w:rPr>
          <w:rFonts w:ascii="Cambria" w:hAnsi="Cambria"/>
          <w:lang w:val="en-GB"/>
        </w:rPr>
        <w:t>Tier</w:t>
      </w:r>
      <w:r w:rsidRPr="0008348F">
        <w:rPr>
          <w:rFonts w:ascii="Cambria" w:hAnsi="Cambria"/>
          <w:lang w:val="en-GB"/>
        </w:rPr>
        <w:t xml:space="preserve"> 1 eligible instruments.</w:t>
      </w:r>
    </w:p>
    <w:p w14:paraId="0494BEA8" w14:textId="44114AAA" w:rsidR="00A96E8F"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2</w:t>
      </w:r>
      <w:r w:rsidR="00A96E8F" w:rsidRPr="005A42C4">
        <w:rPr>
          <w:rFonts w:ascii="Cambria" w:hAnsi="Cambria"/>
          <w:lang w:val="en-GB"/>
        </w:rPr>
        <w:t xml:space="preserve">0 - </w:t>
      </w:r>
      <w:r w:rsidR="00E73513" w:rsidRPr="005A42C4">
        <w:rPr>
          <w:rFonts w:ascii="Cambria" w:hAnsi="Cambria"/>
          <w:lang w:val="en-GB"/>
        </w:rPr>
        <w:t>Pillar 2 Guidance (% - Add-on)</w:t>
      </w:r>
    </w:p>
    <w:p w14:paraId="5962E3A9" w14:textId="3B7B0FEB" w:rsidR="00A96E8F" w:rsidRDefault="00E73513" w:rsidP="009474F1">
      <w:pPr>
        <w:rPr>
          <w:rFonts w:ascii="Cambria" w:hAnsi="Cambria"/>
          <w:lang w:val="en-GB"/>
        </w:rPr>
      </w:pPr>
      <w:r w:rsidRPr="005A42C4">
        <w:rPr>
          <w:rFonts w:ascii="Cambria" w:hAnsi="Cambria"/>
          <w:lang w:val="en-GB"/>
        </w:rPr>
        <w:t>Pillar 2 guidance is not directly binding and a failure to meet Pillar 2 guidance does not automatically trigger legal action. Nonetheless, the Pillar 2 guidance is expected to be complied with by supervisors. If a bank does not meet its Pillar 2 guidance, supervisors will carefully consider the reasons and circumstances and may define fine-tuned supervisory measures.</w:t>
      </w:r>
      <w:r w:rsidR="0061541C" w:rsidRPr="005A42C4">
        <w:rPr>
          <w:rFonts w:ascii="Cambria" w:hAnsi="Cambria"/>
          <w:lang w:val="en-GB"/>
        </w:rPr>
        <w:t xml:space="preserve"> Where such guidance is expressed in a nominal amount, entities shall </w:t>
      </w:r>
      <w:r w:rsidR="004B51D2" w:rsidRPr="005A42C4">
        <w:rPr>
          <w:rFonts w:ascii="Cambria" w:hAnsi="Cambria"/>
          <w:lang w:val="en-GB"/>
        </w:rPr>
        <w:t>report</w:t>
      </w:r>
      <w:r w:rsidR="0061541C" w:rsidRPr="005A42C4">
        <w:rPr>
          <w:rFonts w:ascii="Cambria" w:hAnsi="Cambria"/>
          <w:lang w:val="en-GB"/>
        </w:rPr>
        <w:t xml:space="preserve"> this amount as a percentage using its total risk exposure amount in line </w:t>
      </w:r>
      <w:r w:rsidR="00DA3A5D" w:rsidRPr="005A42C4">
        <w:rPr>
          <w:rFonts w:ascii="Cambria" w:hAnsi="Cambria"/>
          <w:lang w:val="en-GB"/>
        </w:rPr>
        <w:t>r01</w:t>
      </w:r>
      <w:r w:rsidR="0061541C" w:rsidRPr="005A42C4">
        <w:rPr>
          <w:rFonts w:ascii="Cambria" w:hAnsi="Cambria"/>
          <w:lang w:val="en-GB"/>
        </w:rPr>
        <w:t>00.</w:t>
      </w:r>
      <w:r w:rsidR="008539D8" w:rsidRPr="005A42C4">
        <w:rPr>
          <w:rFonts w:ascii="Cambria" w:hAnsi="Cambria"/>
          <w:lang w:val="en-GB"/>
        </w:rPr>
        <w:t xml:space="preserve"> Notation shall be done in absolute value, where 1 equals 100% and with minimum 4 decimal numbers detail.</w:t>
      </w:r>
    </w:p>
    <w:p w14:paraId="4D76D60B" w14:textId="501B2154" w:rsidR="0008348F" w:rsidRDefault="003B28B4" w:rsidP="0008348F">
      <w:pPr>
        <w:pStyle w:val="Heading4"/>
        <w:rPr>
          <w:rFonts w:ascii="Cambria" w:hAnsi="Cambria"/>
          <w:lang w:val="en-GB"/>
        </w:rPr>
      </w:pPr>
      <w:r>
        <w:rPr>
          <w:rFonts w:ascii="Cambria" w:hAnsi="Cambria"/>
          <w:lang w:val="en-GB"/>
        </w:rPr>
        <w:t xml:space="preserve">r0321 </w:t>
      </w:r>
      <w:r w:rsidR="0008348F">
        <w:rPr>
          <w:rFonts w:ascii="Cambria" w:hAnsi="Cambria"/>
          <w:lang w:val="en-GB"/>
        </w:rPr>
        <w:t>– of which to be met with CET1</w:t>
      </w:r>
    </w:p>
    <w:p w14:paraId="62FE354B" w14:textId="57D1AFAB" w:rsidR="0008348F" w:rsidRPr="0008348F" w:rsidRDefault="0008348F" w:rsidP="0008348F">
      <w:pPr>
        <w:rPr>
          <w:rFonts w:ascii="Cambria" w:hAnsi="Cambria"/>
          <w:lang w:val="en-GB"/>
        </w:rPr>
      </w:pPr>
      <w:r>
        <w:rPr>
          <w:rFonts w:ascii="Cambria" w:hAnsi="Cambria"/>
          <w:lang w:val="en-GB"/>
        </w:rPr>
        <w:t>The percentage of Pillar 2</w:t>
      </w:r>
      <w:r w:rsidRPr="0008348F">
        <w:rPr>
          <w:rFonts w:ascii="Cambria" w:hAnsi="Cambria"/>
          <w:lang w:val="en-GB"/>
        </w:rPr>
        <w:t xml:space="preserve"> </w:t>
      </w:r>
      <w:r>
        <w:rPr>
          <w:rFonts w:ascii="Cambria" w:hAnsi="Cambria"/>
          <w:lang w:val="en-GB"/>
        </w:rPr>
        <w:t xml:space="preserve">guidance </w:t>
      </w:r>
      <w:r w:rsidRPr="0008348F">
        <w:rPr>
          <w:rFonts w:ascii="Cambria" w:hAnsi="Cambria"/>
          <w:lang w:val="en-GB"/>
        </w:rPr>
        <w:t>to be met with CET 1 eligible instruments.</w:t>
      </w:r>
    </w:p>
    <w:p w14:paraId="4D4F5B28" w14:textId="3BDA6CE8" w:rsidR="0008348F" w:rsidRDefault="003B28B4" w:rsidP="0008348F">
      <w:pPr>
        <w:pStyle w:val="Heading4"/>
        <w:rPr>
          <w:rFonts w:ascii="Cambria" w:hAnsi="Cambria"/>
          <w:lang w:val="en-GB"/>
        </w:rPr>
      </w:pPr>
      <w:r>
        <w:rPr>
          <w:rFonts w:ascii="Cambria" w:hAnsi="Cambria"/>
          <w:lang w:val="en-GB"/>
        </w:rPr>
        <w:t>r0322</w:t>
      </w:r>
      <w:r w:rsidR="0008348F">
        <w:rPr>
          <w:rFonts w:ascii="Cambria" w:hAnsi="Cambria"/>
          <w:lang w:val="en-GB"/>
        </w:rPr>
        <w:t xml:space="preserve"> – of which to be met with Tier 1</w:t>
      </w:r>
    </w:p>
    <w:p w14:paraId="7B1E9045" w14:textId="3DA31EBA" w:rsidR="0008348F" w:rsidRPr="005A42C4" w:rsidRDefault="0008348F" w:rsidP="009474F1">
      <w:pPr>
        <w:rPr>
          <w:rFonts w:ascii="Cambria" w:hAnsi="Cambria"/>
          <w:lang w:val="en-GB"/>
        </w:rPr>
      </w:pPr>
      <w:r>
        <w:rPr>
          <w:rFonts w:ascii="Cambria" w:hAnsi="Cambria"/>
          <w:lang w:val="en-GB"/>
        </w:rPr>
        <w:t>The percentage of Pillar 2</w:t>
      </w:r>
      <w:r w:rsidRPr="0008348F">
        <w:rPr>
          <w:rFonts w:ascii="Cambria" w:hAnsi="Cambria"/>
          <w:lang w:val="en-GB"/>
        </w:rPr>
        <w:t xml:space="preserve"> </w:t>
      </w:r>
      <w:r>
        <w:rPr>
          <w:rFonts w:ascii="Cambria" w:hAnsi="Cambria"/>
          <w:lang w:val="en-GB"/>
        </w:rPr>
        <w:t>guidance</w:t>
      </w:r>
      <w:r w:rsidRPr="0008348F">
        <w:rPr>
          <w:rFonts w:ascii="Cambria" w:hAnsi="Cambria"/>
          <w:lang w:val="en-GB"/>
        </w:rPr>
        <w:t xml:space="preserve"> to be met with </w:t>
      </w:r>
      <w:r>
        <w:rPr>
          <w:rFonts w:ascii="Cambria" w:hAnsi="Cambria"/>
          <w:lang w:val="en-GB"/>
        </w:rPr>
        <w:t>Tier</w:t>
      </w:r>
      <w:r w:rsidRPr="0008348F">
        <w:rPr>
          <w:rFonts w:ascii="Cambria" w:hAnsi="Cambria"/>
          <w:lang w:val="en-GB"/>
        </w:rPr>
        <w:t xml:space="preserve"> 1 eligible instruments.</w:t>
      </w:r>
    </w:p>
    <w:p w14:paraId="41C49FD0" w14:textId="4D8FBF55" w:rsidR="00A96E8F" w:rsidRPr="005A42C4" w:rsidRDefault="00DA3A5D" w:rsidP="009474F1">
      <w:pPr>
        <w:pStyle w:val="Heading4"/>
        <w:rPr>
          <w:rFonts w:ascii="Cambria" w:hAnsi="Cambria"/>
          <w:lang w:val="en-GB"/>
        </w:rPr>
      </w:pPr>
      <w:r w:rsidRPr="005A42C4">
        <w:rPr>
          <w:rFonts w:ascii="Cambria" w:hAnsi="Cambria"/>
          <w:lang w:val="en-GB"/>
        </w:rPr>
        <w:t>r03</w:t>
      </w:r>
      <w:r w:rsidR="007D50F0" w:rsidRPr="005A42C4">
        <w:rPr>
          <w:rFonts w:ascii="Cambria" w:hAnsi="Cambria"/>
          <w:lang w:val="en-GB"/>
        </w:rPr>
        <w:t>3</w:t>
      </w:r>
      <w:r w:rsidR="00A96E8F" w:rsidRPr="005A42C4">
        <w:rPr>
          <w:rFonts w:ascii="Cambria" w:hAnsi="Cambria"/>
          <w:lang w:val="en-GB"/>
        </w:rPr>
        <w:t xml:space="preserve">0 - Other (National) </w:t>
      </w:r>
      <w:r w:rsidR="00F400B4" w:rsidRPr="005A42C4">
        <w:rPr>
          <w:rFonts w:ascii="Cambria" w:hAnsi="Cambria"/>
          <w:lang w:val="en-GB"/>
        </w:rPr>
        <w:t>Entity</w:t>
      </w:r>
      <w:r w:rsidR="00A96E8F" w:rsidRPr="005A42C4">
        <w:rPr>
          <w:rFonts w:ascii="Cambria" w:hAnsi="Cambria"/>
          <w:lang w:val="en-GB"/>
        </w:rPr>
        <w:t>-Specific Requirements (%)</w:t>
      </w:r>
    </w:p>
    <w:p w14:paraId="2F33CB1A" w14:textId="77777777" w:rsidR="00A96E8F" w:rsidRPr="005A42C4" w:rsidRDefault="00A96E8F" w:rsidP="009474F1">
      <w:pPr>
        <w:rPr>
          <w:rFonts w:ascii="Cambria" w:hAnsi="Cambria"/>
          <w:lang w:val="en-GB"/>
        </w:rPr>
      </w:pPr>
      <w:r w:rsidRPr="005A42C4">
        <w:rPr>
          <w:rFonts w:ascii="Cambria" w:hAnsi="Cambria"/>
          <w:lang w:val="en-GB"/>
        </w:rPr>
        <w:t>Any other requirements that would be imposed by the competent authorities under Pillar 2</w:t>
      </w:r>
      <w:r w:rsidR="002860E8" w:rsidRPr="005A42C4">
        <w:rPr>
          <w:rFonts w:ascii="Cambria" w:hAnsi="Cambria"/>
          <w:lang w:val="en-GB"/>
        </w:rPr>
        <w:t>, i.e. on top of the Pillar I requirements</w:t>
      </w:r>
      <w:r w:rsidRPr="005A42C4">
        <w:rPr>
          <w:rFonts w:ascii="Cambria" w:hAnsi="Cambria"/>
          <w:lang w:val="en-GB"/>
        </w:rPr>
        <w:t>.</w:t>
      </w:r>
      <w:r w:rsidR="008539D8" w:rsidRPr="005A42C4">
        <w:rPr>
          <w:rFonts w:ascii="Cambria" w:hAnsi="Cambria"/>
          <w:lang w:val="en-GB"/>
        </w:rPr>
        <w:t xml:space="preserve"> Notation shall be done in absolute value, where 1 equals 100% and with minimum 4 decimal numbers detail.</w:t>
      </w:r>
    </w:p>
    <w:p w14:paraId="7103646E" w14:textId="449DF047" w:rsidR="00A96E8F" w:rsidRPr="005A42C4" w:rsidRDefault="00DA3A5D" w:rsidP="009474F1">
      <w:pPr>
        <w:pStyle w:val="Heading4"/>
        <w:rPr>
          <w:rFonts w:ascii="Cambria" w:hAnsi="Cambria"/>
          <w:lang w:val="en-GB"/>
        </w:rPr>
      </w:pPr>
      <w:r w:rsidRPr="005A42C4">
        <w:rPr>
          <w:rFonts w:ascii="Cambria" w:hAnsi="Cambria"/>
          <w:lang w:val="en-GB"/>
        </w:rPr>
        <w:t>r04</w:t>
      </w:r>
      <w:r w:rsidR="00A96E8F" w:rsidRPr="005A42C4">
        <w:rPr>
          <w:rFonts w:ascii="Cambria" w:hAnsi="Cambria"/>
          <w:lang w:val="en-GB"/>
        </w:rPr>
        <w:t>00 - Combined Buffer Requirement (</w:t>
      </w:r>
      <w:r w:rsidR="00683233" w:rsidRPr="005A42C4">
        <w:rPr>
          <w:rFonts w:ascii="Cambria" w:hAnsi="Cambria"/>
          <w:lang w:val="en-GB"/>
        </w:rPr>
        <w:t>EUR</w:t>
      </w:r>
      <w:r w:rsidR="00A96E8F" w:rsidRPr="005A42C4">
        <w:rPr>
          <w:rFonts w:ascii="Cambria" w:hAnsi="Cambria"/>
          <w:lang w:val="en-GB"/>
        </w:rPr>
        <w:t xml:space="preserve"> - CRD ART.128/6)</w:t>
      </w:r>
    </w:p>
    <w:p w14:paraId="2A30D4CF" w14:textId="78D1B881" w:rsidR="002B5DBA" w:rsidRPr="005A42C4" w:rsidRDefault="002B5DBA" w:rsidP="009474F1">
      <w:pPr>
        <w:rPr>
          <w:rFonts w:ascii="Cambria" w:hAnsi="Cambria"/>
          <w:lang w:val="en-GB"/>
        </w:rPr>
      </w:pPr>
      <w:r w:rsidRPr="005A42C4">
        <w:rPr>
          <w:rFonts w:ascii="Cambria" w:hAnsi="Cambria"/>
          <w:lang w:val="en-GB"/>
        </w:rPr>
        <w:t xml:space="preserve">The combined buffer </w:t>
      </w:r>
      <w:r w:rsidR="00A96E8F" w:rsidRPr="005A42C4">
        <w:rPr>
          <w:rFonts w:ascii="Cambria" w:hAnsi="Cambria"/>
          <w:lang w:val="en-GB"/>
        </w:rPr>
        <w:t>is</w:t>
      </w:r>
      <w:r w:rsidRPr="005A42C4">
        <w:rPr>
          <w:rFonts w:ascii="Cambria" w:hAnsi="Cambria"/>
          <w:lang w:val="en-GB"/>
        </w:rPr>
        <w:t xml:space="preserve"> calculated in line with article 128 (8) of the CRD. Th</w:t>
      </w:r>
      <w:r w:rsidR="00727733" w:rsidRPr="005A42C4">
        <w:rPr>
          <w:rFonts w:ascii="Cambria" w:hAnsi="Cambria"/>
          <w:lang w:val="en-GB"/>
        </w:rPr>
        <w:t>e transitional value</w:t>
      </w:r>
      <w:r w:rsidRPr="005A42C4">
        <w:rPr>
          <w:rFonts w:ascii="Cambria" w:hAnsi="Cambria"/>
          <w:lang w:val="en-GB"/>
        </w:rPr>
        <w:t xml:space="preserve"> should correspond to COREP </w:t>
      </w:r>
      <w:r w:rsidR="006E3DFC" w:rsidRPr="005A42C4">
        <w:rPr>
          <w:rFonts w:ascii="Cambria" w:hAnsi="Cambria"/>
          <w:lang w:val="en-GB"/>
        </w:rPr>
        <w:t>C04</w:t>
      </w:r>
      <w:r w:rsidR="0031698B" w:rsidRPr="005A42C4">
        <w:rPr>
          <w:rFonts w:ascii="Cambria" w:hAnsi="Cambria"/>
          <w:lang w:val="en-GB"/>
        </w:rPr>
        <w:t>.</w:t>
      </w:r>
      <w:r w:rsidRPr="005A42C4">
        <w:rPr>
          <w:rFonts w:ascii="Cambria" w:hAnsi="Cambria"/>
          <w:lang w:val="en-GB"/>
        </w:rPr>
        <w:t>00-740-</w:t>
      </w:r>
      <w:r w:rsidR="0031698B" w:rsidRPr="005A42C4">
        <w:rPr>
          <w:rFonts w:ascii="Cambria" w:hAnsi="Cambria"/>
          <w:lang w:val="en-GB"/>
        </w:rPr>
        <w:t>0</w:t>
      </w:r>
      <w:r w:rsidRPr="005A42C4">
        <w:rPr>
          <w:rFonts w:ascii="Cambria" w:hAnsi="Cambria"/>
          <w:lang w:val="en-GB"/>
        </w:rPr>
        <w:t>10.</w:t>
      </w:r>
      <w:r w:rsidR="007D1AD1" w:rsidRPr="005A42C4">
        <w:rPr>
          <w:rFonts w:ascii="Cambria" w:hAnsi="Cambria"/>
          <w:lang w:val="en-GB"/>
        </w:rPr>
        <w:t xml:space="preserve"> The amount reported here is</w:t>
      </w:r>
      <w:r w:rsidR="00300E69">
        <w:rPr>
          <w:rFonts w:ascii="Cambria" w:hAnsi="Cambria"/>
          <w:lang w:val="en-GB"/>
        </w:rPr>
        <w:t xml:space="preserve"> </w:t>
      </w:r>
      <w:r w:rsidR="00300E69" w:rsidRPr="005A42C4">
        <w:rPr>
          <w:rFonts w:ascii="Cambria" w:hAnsi="Cambria"/>
          <w:u w:val="single"/>
          <w:lang w:val="en-GB"/>
        </w:rPr>
        <w:t>not necessarily</w:t>
      </w:r>
      <w:r w:rsidR="007D1AD1" w:rsidRPr="005A42C4">
        <w:rPr>
          <w:rFonts w:ascii="Cambria" w:hAnsi="Cambria"/>
          <w:lang w:val="en-GB"/>
        </w:rPr>
        <w:t xml:space="preserve"> the sum of the rows 0410, 0420, 0430, 0440, 0450.</w:t>
      </w:r>
    </w:p>
    <w:p w14:paraId="2E60E4FD" w14:textId="3AB744E4" w:rsidR="002B5DBA" w:rsidRPr="005A42C4" w:rsidRDefault="00DA3A5D" w:rsidP="009474F1">
      <w:pPr>
        <w:pStyle w:val="Heading4"/>
        <w:rPr>
          <w:rFonts w:ascii="Cambria" w:hAnsi="Cambria"/>
          <w:lang w:val="en-GB"/>
        </w:rPr>
      </w:pPr>
      <w:r w:rsidRPr="005A42C4">
        <w:rPr>
          <w:rFonts w:ascii="Cambria" w:hAnsi="Cambria"/>
          <w:lang w:val="en-GB"/>
        </w:rPr>
        <w:t>r04</w:t>
      </w:r>
      <w:r w:rsidR="007D50F0" w:rsidRPr="005A42C4">
        <w:rPr>
          <w:rFonts w:ascii="Cambria" w:hAnsi="Cambria"/>
          <w:lang w:val="en-GB"/>
        </w:rPr>
        <w:t>1</w:t>
      </w:r>
      <w:r w:rsidR="002B5DBA" w:rsidRPr="005A42C4">
        <w:rPr>
          <w:rFonts w:ascii="Cambria" w:hAnsi="Cambria"/>
          <w:lang w:val="en-GB"/>
        </w:rPr>
        <w:t>0 - o/w Capital Conservation Buffer (</w:t>
      </w:r>
      <w:r w:rsidR="00683233" w:rsidRPr="005A42C4">
        <w:rPr>
          <w:rFonts w:ascii="Cambria" w:hAnsi="Cambria"/>
          <w:lang w:val="en-GB"/>
        </w:rPr>
        <w:t>EUR</w:t>
      </w:r>
      <w:r w:rsidR="006226A2" w:rsidRPr="005A42C4">
        <w:rPr>
          <w:rFonts w:ascii="Cambria" w:hAnsi="Cambria"/>
          <w:lang w:val="en-GB"/>
        </w:rPr>
        <w:t xml:space="preserve"> - </w:t>
      </w:r>
      <w:r w:rsidR="002B5DBA" w:rsidRPr="005A42C4">
        <w:rPr>
          <w:rFonts w:ascii="Cambria" w:hAnsi="Cambria"/>
          <w:lang w:val="en-GB"/>
        </w:rPr>
        <w:t>CRD art. 129)</w:t>
      </w:r>
    </w:p>
    <w:p w14:paraId="563D84F1" w14:textId="179AF8ED" w:rsidR="002B5DBA" w:rsidRPr="005A42C4" w:rsidRDefault="002B5DBA" w:rsidP="009474F1">
      <w:pPr>
        <w:rPr>
          <w:rFonts w:ascii="Cambria" w:hAnsi="Cambria"/>
          <w:lang w:val="en-GB"/>
        </w:rPr>
      </w:pPr>
      <w:r w:rsidRPr="005A42C4">
        <w:rPr>
          <w:rFonts w:ascii="Cambria" w:hAnsi="Cambria"/>
          <w:lang w:val="en-GB"/>
        </w:rPr>
        <w:t xml:space="preserve">The </w:t>
      </w:r>
      <w:r w:rsidR="0091707D" w:rsidRPr="005A42C4">
        <w:rPr>
          <w:rFonts w:ascii="Cambria" w:hAnsi="Cambria"/>
          <w:lang w:val="en-GB"/>
        </w:rPr>
        <w:t xml:space="preserve">amount </w:t>
      </w:r>
      <w:r w:rsidRPr="005A42C4">
        <w:rPr>
          <w:rFonts w:ascii="Cambria" w:hAnsi="Cambria"/>
          <w:lang w:val="en-GB"/>
        </w:rPr>
        <w:t>of capital conservation buffer determined by the competent authority, in line with article 129 of the CRD. Th</w:t>
      </w:r>
      <w:r w:rsidR="00727733" w:rsidRPr="005A42C4">
        <w:rPr>
          <w:rFonts w:ascii="Cambria" w:hAnsi="Cambria"/>
          <w:lang w:val="en-GB"/>
        </w:rPr>
        <w:t>e transitional value</w:t>
      </w:r>
      <w:r w:rsidRPr="005A42C4">
        <w:rPr>
          <w:rFonts w:ascii="Cambria" w:hAnsi="Cambria"/>
          <w:lang w:val="en-GB"/>
        </w:rPr>
        <w:t xml:space="preserve"> should correspond to COREP </w:t>
      </w:r>
      <w:r w:rsidR="006E3DFC" w:rsidRPr="005A42C4">
        <w:rPr>
          <w:rFonts w:ascii="Cambria" w:hAnsi="Cambria"/>
          <w:lang w:val="en-GB"/>
        </w:rPr>
        <w:t>C04</w:t>
      </w:r>
      <w:r w:rsidR="0031698B" w:rsidRPr="005A42C4">
        <w:rPr>
          <w:rFonts w:ascii="Cambria" w:hAnsi="Cambria"/>
          <w:lang w:val="en-GB"/>
        </w:rPr>
        <w:t>.</w:t>
      </w:r>
      <w:r w:rsidRPr="005A42C4">
        <w:rPr>
          <w:rFonts w:ascii="Cambria" w:hAnsi="Cambria"/>
          <w:lang w:val="en-GB"/>
        </w:rPr>
        <w:t>00-750-</w:t>
      </w:r>
      <w:r w:rsidR="0031698B" w:rsidRPr="005A42C4">
        <w:rPr>
          <w:rFonts w:ascii="Cambria" w:hAnsi="Cambria"/>
          <w:lang w:val="en-GB"/>
        </w:rPr>
        <w:t>0</w:t>
      </w:r>
      <w:r w:rsidRPr="005A42C4">
        <w:rPr>
          <w:rFonts w:ascii="Cambria" w:hAnsi="Cambria"/>
          <w:lang w:val="en-GB"/>
        </w:rPr>
        <w:t>10.</w:t>
      </w:r>
    </w:p>
    <w:p w14:paraId="4BB0C1C0" w14:textId="62C8F232" w:rsidR="00F70234" w:rsidRDefault="00F70234" w:rsidP="009474F1">
      <w:pPr>
        <w:pStyle w:val="Heading4"/>
        <w:rPr>
          <w:rFonts w:ascii="Cambria" w:hAnsi="Cambria"/>
          <w:lang w:val="en-GB"/>
        </w:rPr>
      </w:pPr>
      <w:r>
        <w:rPr>
          <w:rFonts w:ascii="Cambria" w:hAnsi="Cambria"/>
          <w:lang w:val="en-GB"/>
        </w:rPr>
        <w:lastRenderedPageBreak/>
        <w:t>r0415 – 0/w Conservation buffer due to macro-prudential or systemic risk identified at the level of a Member State</w:t>
      </w:r>
    </w:p>
    <w:p w14:paraId="6F7FE938" w14:textId="3C777455" w:rsidR="00F70234" w:rsidRPr="00F70234" w:rsidRDefault="00F70234" w:rsidP="00F70234">
      <w:pPr>
        <w:rPr>
          <w:rFonts w:ascii="Cambria" w:hAnsi="Cambria"/>
          <w:lang w:val="en-GB"/>
        </w:rPr>
      </w:pPr>
      <w:r w:rsidRPr="00F70234">
        <w:rPr>
          <w:rFonts w:ascii="Cambria" w:hAnsi="Cambria"/>
          <w:lang w:val="en-GB"/>
        </w:rPr>
        <w:t>Article 458(2) point d (iv) of Regulation (EU) No 575/2013 COREP (OF): {C 04.00;760;010}). In this cell the amount of the conservation buffer due to macro-prudential or systemic risk identified at the level of a Member State, which can be requested according to Article 458 of Regulation (EU) No 575/2013 in addition to the capital conservation buffer shall be reported. The amount reported shall represent the amount of own funds needed to fulfil the respective capital buffer requirements at the reporting date.</w:t>
      </w:r>
    </w:p>
    <w:p w14:paraId="1121F2E3" w14:textId="666BABF5" w:rsidR="002B5DBA" w:rsidRPr="005A42C4" w:rsidRDefault="00DA3A5D" w:rsidP="009474F1">
      <w:pPr>
        <w:pStyle w:val="Heading4"/>
        <w:rPr>
          <w:rFonts w:ascii="Cambria" w:hAnsi="Cambria"/>
          <w:lang w:val="en-GB"/>
        </w:rPr>
      </w:pPr>
      <w:r w:rsidRPr="005A42C4">
        <w:rPr>
          <w:rFonts w:ascii="Cambria" w:hAnsi="Cambria"/>
          <w:lang w:val="en-GB"/>
        </w:rPr>
        <w:t>r04</w:t>
      </w:r>
      <w:r w:rsidR="007D50F0" w:rsidRPr="005A42C4">
        <w:rPr>
          <w:rFonts w:ascii="Cambria" w:hAnsi="Cambria"/>
          <w:lang w:val="en-GB"/>
        </w:rPr>
        <w:t>2</w:t>
      </w:r>
      <w:r w:rsidR="00A96E8F" w:rsidRPr="005A42C4">
        <w:rPr>
          <w:rFonts w:ascii="Cambria" w:hAnsi="Cambria"/>
          <w:lang w:val="en-GB"/>
        </w:rPr>
        <w:t>0</w:t>
      </w:r>
      <w:r w:rsidR="002B5DBA" w:rsidRPr="005A42C4">
        <w:rPr>
          <w:rFonts w:ascii="Cambria" w:hAnsi="Cambria"/>
          <w:lang w:val="en-GB"/>
        </w:rPr>
        <w:t xml:space="preserve"> - o/w </w:t>
      </w:r>
      <w:r w:rsidR="00793B00" w:rsidRPr="005A42C4">
        <w:rPr>
          <w:rFonts w:ascii="Cambria" w:hAnsi="Cambria"/>
          <w:lang w:val="en-GB"/>
        </w:rPr>
        <w:t>Institution</w:t>
      </w:r>
      <w:r w:rsidR="002B5DBA" w:rsidRPr="005A42C4">
        <w:rPr>
          <w:rFonts w:ascii="Cambria" w:hAnsi="Cambria"/>
          <w:lang w:val="en-GB"/>
        </w:rPr>
        <w:t>-Specific Countercyclical Capital Buffer (</w:t>
      </w:r>
      <w:r w:rsidR="00683233" w:rsidRPr="005A42C4">
        <w:rPr>
          <w:rFonts w:ascii="Cambria" w:hAnsi="Cambria"/>
          <w:lang w:val="en-GB"/>
        </w:rPr>
        <w:t>EUR</w:t>
      </w:r>
      <w:r w:rsidR="006226A2" w:rsidRPr="005A42C4">
        <w:rPr>
          <w:rFonts w:ascii="Cambria" w:hAnsi="Cambria"/>
          <w:lang w:val="en-GB"/>
        </w:rPr>
        <w:t xml:space="preserve"> - </w:t>
      </w:r>
      <w:r w:rsidR="002B5DBA" w:rsidRPr="005A42C4">
        <w:rPr>
          <w:rFonts w:ascii="Cambria" w:hAnsi="Cambria"/>
          <w:lang w:val="en-GB"/>
        </w:rPr>
        <w:t>CRD art. 130)</w:t>
      </w:r>
    </w:p>
    <w:p w14:paraId="5E6FA011" w14:textId="06F3EB43" w:rsidR="002B5DBA" w:rsidRPr="005A42C4" w:rsidRDefault="002B5DBA" w:rsidP="009474F1">
      <w:pPr>
        <w:rPr>
          <w:rFonts w:ascii="Cambria" w:hAnsi="Cambria"/>
          <w:lang w:val="en-GB"/>
        </w:rPr>
      </w:pPr>
      <w:r w:rsidRPr="005A42C4">
        <w:rPr>
          <w:rFonts w:ascii="Cambria" w:hAnsi="Cambria"/>
          <w:lang w:val="en-GB"/>
        </w:rPr>
        <w:t xml:space="preserve">The </w:t>
      </w:r>
      <w:r w:rsidR="0091707D" w:rsidRPr="005A42C4">
        <w:rPr>
          <w:rFonts w:ascii="Cambria" w:hAnsi="Cambria"/>
          <w:lang w:val="en-GB"/>
        </w:rPr>
        <w:t xml:space="preserve">amount </w:t>
      </w:r>
      <w:r w:rsidRPr="005A42C4">
        <w:rPr>
          <w:rFonts w:ascii="Cambria" w:hAnsi="Cambria"/>
          <w:lang w:val="en-GB"/>
        </w:rPr>
        <w:t>of the countercyclical capital buffer determined by the competent authority, in line with article 130 of the CRD. Th</w:t>
      </w:r>
      <w:r w:rsidR="00727733" w:rsidRPr="005A42C4">
        <w:rPr>
          <w:rFonts w:ascii="Cambria" w:hAnsi="Cambria"/>
          <w:lang w:val="en-GB"/>
        </w:rPr>
        <w:t>e transitional value</w:t>
      </w:r>
      <w:r w:rsidRPr="005A42C4">
        <w:rPr>
          <w:rFonts w:ascii="Cambria" w:hAnsi="Cambria"/>
          <w:lang w:val="en-GB"/>
        </w:rPr>
        <w:t xml:space="preserve"> should correspond to COREP reference </w:t>
      </w:r>
      <w:r w:rsidR="006E3DFC" w:rsidRPr="005A42C4">
        <w:rPr>
          <w:rFonts w:ascii="Cambria" w:hAnsi="Cambria"/>
          <w:lang w:val="en-GB"/>
        </w:rPr>
        <w:t>C04</w:t>
      </w:r>
      <w:r w:rsidR="0031698B" w:rsidRPr="005A42C4">
        <w:rPr>
          <w:rFonts w:ascii="Cambria" w:hAnsi="Cambria"/>
          <w:lang w:val="en-GB"/>
        </w:rPr>
        <w:t>.</w:t>
      </w:r>
      <w:r w:rsidRPr="005A42C4">
        <w:rPr>
          <w:rFonts w:ascii="Cambria" w:hAnsi="Cambria"/>
          <w:lang w:val="en-GB"/>
        </w:rPr>
        <w:t>00-770-</w:t>
      </w:r>
      <w:r w:rsidR="0031698B" w:rsidRPr="005A42C4">
        <w:rPr>
          <w:rFonts w:ascii="Cambria" w:hAnsi="Cambria"/>
          <w:lang w:val="en-GB"/>
        </w:rPr>
        <w:t>0</w:t>
      </w:r>
      <w:r w:rsidRPr="005A42C4">
        <w:rPr>
          <w:rFonts w:ascii="Cambria" w:hAnsi="Cambria"/>
          <w:lang w:val="en-GB"/>
        </w:rPr>
        <w:t>10.</w:t>
      </w:r>
      <w:r w:rsidR="00F3323A" w:rsidRPr="005A42C4">
        <w:rPr>
          <w:rFonts w:ascii="Cambria" w:hAnsi="Cambria"/>
          <w:lang w:val="en-GB"/>
        </w:rPr>
        <w:t xml:space="preserve"> The fully loaded amount should correspond to the buffer rates officially communicated to the ESRB by the competent authority, applied to the relevant exposures and risk exposure amounts as at the reporting date.</w:t>
      </w:r>
    </w:p>
    <w:p w14:paraId="7B5C8F74" w14:textId="3434106E" w:rsidR="002B5DBA" w:rsidRPr="005A42C4" w:rsidRDefault="00DA3A5D" w:rsidP="009474F1">
      <w:pPr>
        <w:pStyle w:val="Heading4"/>
        <w:rPr>
          <w:rFonts w:ascii="Cambria" w:hAnsi="Cambria"/>
          <w:lang w:val="en-GB"/>
        </w:rPr>
      </w:pPr>
      <w:r w:rsidRPr="005A42C4">
        <w:rPr>
          <w:rFonts w:ascii="Cambria" w:hAnsi="Cambria"/>
          <w:lang w:val="en-GB"/>
        </w:rPr>
        <w:t>r04</w:t>
      </w:r>
      <w:r w:rsidR="007D50F0" w:rsidRPr="005A42C4">
        <w:rPr>
          <w:rFonts w:ascii="Cambria" w:hAnsi="Cambria"/>
          <w:lang w:val="en-GB"/>
        </w:rPr>
        <w:t>30</w:t>
      </w:r>
      <w:r w:rsidR="002B5DBA" w:rsidRPr="005A42C4">
        <w:rPr>
          <w:rFonts w:ascii="Cambria" w:hAnsi="Cambria"/>
          <w:lang w:val="en-GB"/>
        </w:rPr>
        <w:t xml:space="preserve"> - o/w Systemic Risk Buffer (</w:t>
      </w:r>
      <w:r w:rsidR="00683233" w:rsidRPr="005A42C4">
        <w:rPr>
          <w:rFonts w:ascii="Cambria" w:hAnsi="Cambria"/>
          <w:lang w:val="en-GB"/>
        </w:rPr>
        <w:t>EUR</w:t>
      </w:r>
      <w:r w:rsidR="006226A2" w:rsidRPr="005A42C4">
        <w:rPr>
          <w:rFonts w:ascii="Cambria" w:hAnsi="Cambria"/>
          <w:lang w:val="en-GB"/>
        </w:rPr>
        <w:t xml:space="preserve"> - </w:t>
      </w:r>
      <w:r w:rsidR="002B5DBA" w:rsidRPr="005A42C4">
        <w:rPr>
          <w:rFonts w:ascii="Cambria" w:hAnsi="Cambria"/>
          <w:lang w:val="en-GB"/>
        </w:rPr>
        <w:t>CRD art. 133)</w:t>
      </w:r>
    </w:p>
    <w:p w14:paraId="28F848D5" w14:textId="2CB4948D" w:rsidR="002B5DBA" w:rsidRPr="005A42C4" w:rsidRDefault="002B5DBA" w:rsidP="009474F1">
      <w:pPr>
        <w:rPr>
          <w:rFonts w:ascii="Cambria" w:hAnsi="Cambria"/>
          <w:lang w:val="en-GB"/>
        </w:rPr>
      </w:pPr>
      <w:r w:rsidRPr="005A42C4">
        <w:rPr>
          <w:rFonts w:ascii="Cambria" w:hAnsi="Cambria"/>
          <w:lang w:val="en-GB"/>
        </w:rPr>
        <w:t xml:space="preserve">The </w:t>
      </w:r>
      <w:r w:rsidR="0091707D" w:rsidRPr="005A42C4">
        <w:rPr>
          <w:rFonts w:ascii="Cambria" w:hAnsi="Cambria"/>
          <w:lang w:val="en-GB"/>
        </w:rPr>
        <w:t xml:space="preserve">amount </w:t>
      </w:r>
      <w:r w:rsidRPr="005A42C4">
        <w:rPr>
          <w:rFonts w:ascii="Cambria" w:hAnsi="Cambria"/>
          <w:lang w:val="en-GB"/>
        </w:rPr>
        <w:t>of systemic risk buffer determined by the competent authority, in line with article 133 of the CRD. Th</w:t>
      </w:r>
      <w:r w:rsidR="00727733" w:rsidRPr="005A42C4">
        <w:rPr>
          <w:rFonts w:ascii="Cambria" w:hAnsi="Cambria"/>
          <w:lang w:val="en-GB"/>
        </w:rPr>
        <w:t xml:space="preserve">e transitional value </w:t>
      </w:r>
      <w:r w:rsidRPr="005A42C4">
        <w:rPr>
          <w:rFonts w:ascii="Cambria" w:hAnsi="Cambria"/>
          <w:lang w:val="en-GB"/>
        </w:rPr>
        <w:t xml:space="preserve">should correspond to COREP reference </w:t>
      </w:r>
      <w:r w:rsidR="006E3DFC" w:rsidRPr="005A42C4">
        <w:rPr>
          <w:rFonts w:ascii="Cambria" w:hAnsi="Cambria"/>
          <w:lang w:val="en-GB"/>
        </w:rPr>
        <w:t>C04</w:t>
      </w:r>
      <w:r w:rsidR="0031698B" w:rsidRPr="005A42C4">
        <w:rPr>
          <w:rFonts w:ascii="Cambria" w:hAnsi="Cambria"/>
          <w:lang w:val="en-GB"/>
        </w:rPr>
        <w:t>.</w:t>
      </w:r>
      <w:r w:rsidRPr="005A42C4">
        <w:rPr>
          <w:rFonts w:ascii="Cambria" w:hAnsi="Cambria"/>
          <w:lang w:val="en-GB"/>
        </w:rPr>
        <w:t>00-780-</w:t>
      </w:r>
      <w:r w:rsidR="0031698B" w:rsidRPr="005A42C4">
        <w:rPr>
          <w:rFonts w:ascii="Cambria" w:hAnsi="Cambria"/>
          <w:lang w:val="en-GB"/>
        </w:rPr>
        <w:t>0</w:t>
      </w:r>
      <w:r w:rsidRPr="005A42C4">
        <w:rPr>
          <w:rFonts w:ascii="Cambria" w:hAnsi="Cambria"/>
          <w:lang w:val="en-GB"/>
        </w:rPr>
        <w:t>10.</w:t>
      </w:r>
    </w:p>
    <w:p w14:paraId="580ED83D" w14:textId="55E41AF2" w:rsidR="002B5DBA" w:rsidRPr="005A42C4" w:rsidRDefault="00DA3A5D" w:rsidP="009474F1">
      <w:pPr>
        <w:pStyle w:val="Heading4"/>
        <w:rPr>
          <w:rFonts w:ascii="Cambria" w:hAnsi="Cambria"/>
          <w:lang w:val="en-GB"/>
        </w:rPr>
      </w:pPr>
      <w:r w:rsidRPr="005A42C4">
        <w:rPr>
          <w:rFonts w:ascii="Cambria" w:hAnsi="Cambria"/>
          <w:lang w:val="en-GB"/>
        </w:rPr>
        <w:t>r04</w:t>
      </w:r>
      <w:r w:rsidR="007D50F0" w:rsidRPr="005A42C4">
        <w:rPr>
          <w:rFonts w:ascii="Cambria" w:hAnsi="Cambria"/>
          <w:lang w:val="en-GB"/>
        </w:rPr>
        <w:t>4</w:t>
      </w:r>
      <w:r w:rsidR="00A96E8F" w:rsidRPr="005A42C4">
        <w:rPr>
          <w:rFonts w:ascii="Cambria" w:hAnsi="Cambria"/>
          <w:lang w:val="en-GB"/>
        </w:rPr>
        <w:t>0</w:t>
      </w:r>
      <w:r w:rsidR="002B5DBA" w:rsidRPr="005A42C4">
        <w:rPr>
          <w:rFonts w:ascii="Cambria" w:hAnsi="Cambria"/>
          <w:lang w:val="en-GB"/>
        </w:rPr>
        <w:t xml:space="preserve"> - o/w G-SII Buffer (</w:t>
      </w:r>
      <w:r w:rsidR="00683233" w:rsidRPr="005A42C4">
        <w:rPr>
          <w:rFonts w:ascii="Cambria" w:hAnsi="Cambria"/>
          <w:lang w:val="en-GB"/>
        </w:rPr>
        <w:t>EUR</w:t>
      </w:r>
      <w:r w:rsidR="006226A2" w:rsidRPr="005A42C4">
        <w:rPr>
          <w:rFonts w:ascii="Cambria" w:hAnsi="Cambria"/>
          <w:lang w:val="en-GB"/>
        </w:rPr>
        <w:t xml:space="preserve"> - </w:t>
      </w:r>
      <w:r w:rsidR="002B5DBA" w:rsidRPr="005A42C4">
        <w:rPr>
          <w:rFonts w:ascii="Cambria" w:hAnsi="Cambria"/>
          <w:lang w:val="en-GB"/>
        </w:rPr>
        <w:t>CRD art. 131/4)</w:t>
      </w:r>
    </w:p>
    <w:p w14:paraId="4C8A733A" w14:textId="0351D406" w:rsidR="002B5DBA" w:rsidRPr="005A42C4" w:rsidRDefault="002B5DBA" w:rsidP="009474F1">
      <w:pPr>
        <w:rPr>
          <w:rFonts w:ascii="Cambria" w:hAnsi="Cambria"/>
          <w:lang w:val="en-GB"/>
        </w:rPr>
      </w:pPr>
      <w:r w:rsidRPr="005A42C4">
        <w:rPr>
          <w:rFonts w:ascii="Cambria" w:hAnsi="Cambria"/>
          <w:lang w:val="en-GB"/>
        </w:rPr>
        <w:t xml:space="preserve">The </w:t>
      </w:r>
      <w:r w:rsidR="0091707D" w:rsidRPr="005A42C4">
        <w:rPr>
          <w:rFonts w:ascii="Cambria" w:hAnsi="Cambria"/>
          <w:lang w:val="en-GB"/>
        </w:rPr>
        <w:t xml:space="preserve">amount </w:t>
      </w:r>
      <w:r w:rsidRPr="005A42C4">
        <w:rPr>
          <w:rFonts w:ascii="Cambria" w:hAnsi="Cambria"/>
          <w:lang w:val="en-GB"/>
        </w:rPr>
        <w:t>of G-SII buffer determined by the competent authority, in line with article 131 (4) of the CRD. Th</w:t>
      </w:r>
      <w:r w:rsidR="00727733" w:rsidRPr="005A42C4">
        <w:rPr>
          <w:rFonts w:ascii="Cambria" w:hAnsi="Cambria"/>
          <w:lang w:val="en-GB"/>
        </w:rPr>
        <w:t>e transitional value</w:t>
      </w:r>
      <w:r w:rsidRPr="005A42C4">
        <w:rPr>
          <w:rFonts w:ascii="Cambria" w:hAnsi="Cambria"/>
          <w:lang w:val="en-GB"/>
        </w:rPr>
        <w:t xml:space="preserve"> should correspond to COREP </w:t>
      </w:r>
      <w:r w:rsidR="0031698B" w:rsidRPr="005A42C4">
        <w:rPr>
          <w:rFonts w:ascii="Cambria" w:hAnsi="Cambria"/>
          <w:lang w:val="en-GB"/>
        </w:rPr>
        <w:t xml:space="preserve">reference </w:t>
      </w:r>
      <w:r w:rsidR="006E3DFC" w:rsidRPr="005A42C4">
        <w:rPr>
          <w:rFonts w:ascii="Cambria" w:hAnsi="Cambria"/>
          <w:lang w:val="en-GB"/>
        </w:rPr>
        <w:t>C04</w:t>
      </w:r>
      <w:r w:rsidR="0031698B" w:rsidRPr="005A42C4">
        <w:rPr>
          <w:rFonts w:ascii="Cambria" w:hAnsi="Cambria"/>
          <w:lang w:val="en-GB"/>
        </w:rPr>
        <w:t>.</w:t>
      </w:r>
      <w:r w:rsidRPr="005A42C4">
        <w:rPr>
          <w:rFonts w:ascii="Cambria" w:hAnsi="Cambria"/>
          <w:lang w:val="en-GB"/>
        </w:rPr>
        <w:t>00-800-</w:t>
      </w:r>
      <w:r w:rsidR="0031698B" w:rsidRPr="005A42C4">
        <w:rPr>
          <w:rFonts w:ascii="Cambria" w:hAnsi="Cambria"/>
          <w:lang w:val="en-GB"/>
        </w:rPr>
        <w:t>0</w:t>
      </w:r>
      <w:r w:rsidRPr="005A42C4">
        <w:rPr>
          <w:rFonts w:ascii="Cambria" w:hAnsi="Cambria"/>
          <w:lang w:val="en-GB"/>
        </w:rPr>
        <w:t>10.</w:t>
      </w:r>
    </w:p>
    <w:p w14:paraId="76735474" w14:textId="22AFFD4E" w:rsidR="002B5DBA" w:rsidRPr="005A42C4" w:rsidRDefault="00DA3A5D" w:rsidP="009474F1">
      <w:pPr>
        <w:pStyle w:val="Heading4"/>
        <w:rPr>
          <w:rFonts w:ascii="Cambria" w:hAnsi="Cambria"/>
          <w:lang w:val="en-GB"/>
        </w:rPr>
      </w:pPr>
      <w:r w:rsidRPr="005A42C4">
        <w:rPr>
          <w:rFonts w:ascii="Cambria" w:hAnsi="Cambria"/>
          <w:lang w:val="en-GB"/>
        </w:rPr>
        <w:t>r04</w:t>
      </w:r>
      <w:r w:rsidR="007D50F0" w:rsidRPr="005A42C4">
        <w:rPr>
          <w:rFonts w:ascii="Cambria" w:hAnsi="Cambria"/>
          <w:lang w:val="en-GB"/>
        </w:rPr>
        <w:t>50</w:t>
      </w:r>
      <w:r w:rsidR="002B5DBA" w:rsidRPr="005A42C4">
        <w:rPr>
          <w:rFonts w:ascii="Cambria" w:hAnsi="Cambria"/>
          <w:lang w:val="en-GB"/>
        </w:rPr>
        <w:t xml:space="preserve"> - o/w O-SII Buffer (</w:t>
      </w:r>
      <w:r w:rsidR="00683233" w:rsidRPr="005A42C4">
        <w:rPr>
          <w:rFonts w:ascii="Cambria" w:hAnsi="Cambria"/>
          <w:lang w:val="en-GB"/>
        </w:rPr>
        <w:t>EUR</w:t>
      </w:r>
      <w:r w:rsidR="006226A2" w:rsidRPr="005A42C4">
        <w:rPr>
          <w:rFonts w:ascii="Cambria" w:hAnsi="Cambria"/>
          <w:lang w:val="en-GB"/>
        </w:rPr>
        <w:t xml:space="preserve"> - </w:t>
      </w:r>
      <w:r w:rsidR="002B5DBA" w:rsidRPr="005A42C4">
        <w:rPr>
          <w:rFonts w:ascii="Cambria" w:hAnsi="Cambria"/>
          <w:lang w:val="en-GB"/>
        </w:rPr>
        <w:t>CRD art. 131/5)</w:t>
      </w:r>
    </w:p>
    <w:p w14:paraId="6541C3E7" w14:textId="48A1B114" w:rsidR="0029682A" w:rsidRDefault="002B5DBA">
      <w:pPr>
        <w:spacing w:after="160" w:line="259" w:lineRule="auto"/>
        <w:jc w:val="left"/>
        <w:rPr>
          <w:rFonts w:ascii="Cambria" w:hAnsi="Cambria"/>
          <w:lang w:val="en-GB"/>
        </w:rPr>
      </w:pPr>
      <w:r w:rsidRPr="005A42C4">
        <w:rPr>
          <w:rFonts w:ascii="Cambria" w:hAnsi="Cambria"/>
          <w:lang w:val="en-GB"/>
        </w:rPr>
        <w:t xml:space="preserve">The </w:t>
      </w:r>
      <w:r w:rsidR="0091707D" w:rsidRPr="005A42C4">
        <w:rPr>
          <w:rFonts w:ascii="Cambria" w:hAnsi="Cambria"/>
          <w:lang w:val="en-GB"/>
        </w:rPr>
        <w:t xml:space="preserve">amount </w:t>
      </w:r>
      <w:r w:rsidRPr="005A42C4">
        <w:rPr>
          <w:rFonts w:ascii="Cambria" w:hAnsi="Cambria"/>
          <w:lang w:val="en-GB"/>
        </w:rPr>
        <w:t>of O-SII buffer determined by the competent authority, in line with article 131 (5) of the CRD. Th</w:t>
      </w:r>
      <w:r w:rsidR="00727733" w:rsidRPr="005A42C4">
        <w:rPr>
          <w:rFonts w:ascii="Cambria" w:hAnsi="Cambria"/>
          <w:lang w:val="en-GB"/>
        </w:rPr>
        <w:t>e transitional value</w:t>
      </w:r>
      <w:r w:rsidRPr="005A42C4">
        <w:rPr>
          <w:rFonts w:ascii="Cambria" w:hAnsi="Cambria"/>
          <w:lang w:val="en-GB"/>
        </w:rPr>
        <w:t xml:space="preserve"> should correspond to COREP reference </w:t>
      </w:r>
      <w:r w:rsidR="006E3DFC" w:rsidRPr="005A42C4">
        <w:rPr>
          <w:rFonts w:ascii="Cambria" w:hAnsi="Cambria"/>
          <w:lang w:val="en-GB"/>
        </w:rPr>
        <w:t>C04</w:t>
      </w:r>
      <w:r w:rsidR="0031698B" w:rsidRPr="005A42C4">
        <w:rPr>
          <w:rFonts w:ascii="Cambria" w:hAnsi="Cambria"/>
          <w:lang w:val="en-GB"/>
        </w:rPr>
        <w:t>.</w:t>
      </w:r>
      <w:r w:rsidRPr="005A42C4">
        <w:rPr>
          <w:rFonts w:ascii="Cambria" w:hAnsi="Cambria"/>
          <w:lang w:val="en-GB"/>
        </w:rPr>
        <w:t>00-810-</w:t>
      </w:r>
      <w:r w:rsidR="0031698B" w:rsidRPr="005A42C4">
        <w:rPr>
          <w:rFonts w:ascii="Cambria" w:hAnsi="Cambria"/>
          <w:lang w:val="en-GB"/>
        </w:rPr>
        <w:t>0</w:t>
      </w:r>
      <w:r w:rsidRPr="005A42C4">
        <w:rPr>
          <w:rFonts w:ascii="Cambria" w:hAnsi="Cambria"/>
          <w:lang w:val="en-GB"/>
        </w:rPr>
        <w:t>10.</w:t>
      </w:r>
    </w:p>
    <w:p w14:paraId="7E132D12" w14:textId="6CAC1A72" w:rsidR="00543061" w:rsidRDefault="00543061">
      <w:pPr>
        <w:spacing w:after="160" w:line="259" w:lineRule="auto"/>
        <w:jc w:val="left"/>
        <w:rPr>
          <w:rFonts w:ascii="Cambria" w:hAnsi="Cambria"/>
          <w:lang w:val="en-GB"/>
        </w:rPr>
      </w:pPr>
    </w:p>
    <w:p w14:paraId="3F8B3EB1" w14:textId="77777777" w:rsidR="00543061" w:rsidRPr="005A42C4" w:rsidRDefault="00543061">
      <w:pPr>
        <w:spacing w:after="160" w:line="259" w:lineRule="auto"/>
        <w:jc w:val="left"/>
        <w:rPr>
          <w:rFonts w:ascii="Cambria" w:hAnsi="Cambria"/>
          <w:lang w:val="en-GB"/>
        </w:rPr>
        <w:sectPr w:rsidR="00543061" w:rsidRPr="005A42C4" w:rsidSect="0098031C">
          <w:pgSz w:w="11906" w:h="16838"/>
          <w:pgMar w:top="2552" w:right="1440" w:bottom="1440" w:left="1440" w:header="709" w:footer="709" w:gutter="0"/>
          <w:cols w:space="708"/>
          <w:titlePg/>
          <w:docGrid w:linePitch="360"/>
        </w:sectPr>
      </w:pPr>
    </w:p>
    <w:p w14:paraId="27056517" w14:textId="77777777" w:rsidR="00784AEC" w:rsidRPr="005A42C4" w:rsidRDefault="0029682A">
      <w:pPr>
        <w:spacing w:after="160" w:line="259" w:lineRule="auto"/>
        <w:jc w:val="left"/>
        <w:rPr>
          <w:rFonts w:ascii="Cambria" w:eastAsiaTheme="majorEastAsia" w:hAnsi="Cambria" w:cstheme="majorBidi"/>
          <w:sz w:val="24"/>
          <w:szCs w:val="24"/>
          <w:u w:val="single"/>
          <w:lang w:val="en-GB"/>
        </w:rPr>
      </w:pPr>
      <w:r w:rsidRPr="005A42C4">
        <w:rPr>
          <w:rFonts w:ascii="Cambria" w:hAnsi="Cambria"/>
          <w:noProof/>
          <w:lang w:val="en-GB" w:eastAsia="en-GB"/>
        </w:rPr>
        <w:lastRenderedPageBreak/>
        <mc:AlternateContent>
          <mc:Choice Requires="wps">
            <w:drawing>
              <wp:anchor distT="0" distB="0" distL="114300" distR="114300" simplePos="0" relativeHeight="251658251" behindDoc="0" locked="0" layoutInCell="1" allowOverlap="1" wp14:anchorId="1D87BF81" wp14:editId="46A1C3E3">
                <wp:simplePos x="0" y="0"/>
                <wp:positionH relativeFrom="page">
                  <wp:posOffset>552734</wp:posOffset>
                </wp:positionH>
                <wp:positionV relativeFrom="paragraph">
                  <wp:posOffset>484497</wp:posOffset>
                </wp:positionV>
                <wp:extent cx="9565419" cy="5895832"/>
                <wp:effectExtent l="0" t="0" r="17145" b="10160"/>
                <wp:wrapNone/>
                <wp:docPr id="32" name="Text Box 32"/>
                <wp:cNvGraphicFramePr/>
                <a:graphic xmlns:a="http://schemas.openxmlformats.org/drawingml/2006/main">
                  <a:graphicData uri="http://schemas.microsoft.com/office/word/2010/wordprocessingShape">
                    <wps:wsp>
                      <wps:cNvSpPr txBox="1"/>
                      <wps:spPr>
                        <a:xfrm>
                          <a:off x="0" y="0"/>
                          <a:ext cx="9565419" cy="5895832"/>
                        </a:xfrm>
                        <a:prstGeom prst="rect">
                          <a:avLst/>
                        </a:prstGeom>
                        <a:solidFill>
                          <a:sysClr val="window" lastClr="FFFFFF"/>
                        </a:solidFill>
                        <a:ln w="6350">
                          <a:solidFill>
                            <a:prstClr val="black"/>
                          </a:solidFill>
                        </a:ln>
                        <a:effectLst/>
                      </wps:spPr>
                      <wps:txbx>
                        <w:txbxContent>
                          <w:p w14:paraId="3BBDA2A5" w14:textId="77777777" w:rsidR="002D45CF" w:rsidRPr="006550F9" w:rsidRDefault="002D45CF" w:rsidP="00784AEC">
                            <w:pPr>
                              <w:rPr>
                                <w:b/>
                                <w:lang w:val="en-GB"/>
                              </w:rPr>
                            </w:pPr>
                            <w:r w:rsidRPr="006550F9">
                              <w:rPr>
                                <w:b/>
                                <w:lang w:val="en-GB"/>
                              </w:rPr>
                              <w:t>Simplified example</w:t>
                            </w:r>
                          </w:p>
                          <w:p w14:paraId="75157831" w14:textId="77777777" w:rsidR="002D45CF" w:rsidRPr="006550F9" w:rsidRDefault="002D45CF" w:rsidP="00784AEC">
                            <w:pPr>
                              <w:rPr>
                                <w:lang w:val="en-GB"/>
                              </w:rPr>
                            </w:pPr>
                          </w:p>
                          <w:p w14:paraId="53B0F15A" w14:textId="6505F2C5" w:rsidR="002D45CF" w:rsidRDefault="002D45CF" w:rsidP="00784AEC">
                            <w:pPr>
                              <w:rPr>
                                <w:lang w:val="en-GB"/>
                              </w:rPr>
                            </w:pPr>
                            <w:r>
                              <w:rPr>
                                <w:lang w:val="en-GB"/>
                              </w:rPr>
                              <w:t xml:space="preserve">An institution has a total risk exposure amount of EUR 50 billion in line with CRR dispositions at the reporting date. </w:t>
                            </w:r>
                            <w:r w:rsidR="009873BF">
                              <w:rPr>
                                <w:lang w:val="en-GB"/>
                              </w:rPr>
                              <w:t xml:space="preserve">In the absence of </w:t>
                            </w:r>
                            <w:r>
                              <w:rPr>
                                <w:lang w:val="en-GB"/>
                              </w:rPr>
                              <w:t xml:space="preserve">transitional measures, the </w:t>
                            </w:r>
                            <w:r w:rsidR="009873BF">
                              <w:rPr>
                                <w:lang w:val="en-GB"/>
                              </w:rPr>
                              <w:t xml:space="preserve">transitional and </w:t>
                            </w:r>
                            <w:r>
                              <w:rPr>
                                <w:lang w:val="en-GB"/>
                              </w:rPr>
                              <w:t>fully loaded total risk exposure amount</w:t>
                            </w:r>
                            <w:r w:rsidR="009873BF">
                              <w:rPr>
                                <w:lang w:val="en-GB"/>
                              </w:rPr>
                              <w:t>s</w:t>
                            </w:r>
                            <w:r>
                              <w:rPr>
                                <w:lang w:val="en-GB"/>
                              </w:rPr>
                              <w:t xml:space="preserve"> would be EUR 51 billion.</w:t>
                            </w:r>
                          </w:p>
                          <w:p w14:paraId="4627E5C8" w14:textId="77777777" w:rsidR="002D45CF" w:rsidRDefault="002D45CF" w:rsidP="00784AEC">
                            <w:pPr>
                              <w:rPr>
                                <w:lang w:val="en-GB"/>
                              </w:rPr>
                            </w:pPr>
                          </w:p>
                          <w:p w14:paraId="03A70C91" w14:textId="77777777" w:rsidR="002D45CF" w:rsidRDefault="002D45CF" w:rsidP="00784AEC">
                            <w:pPr>
                              <w:rPr>
                                <w:lang w:val="en-GB"/>
                              </w:rPr>
                            </w:pPr>
                            <w:r>
                              <w:rPr>
                                <w:lang w:val="en-GB"/>
                              </w:rPr>
                              <w:t>The legal minimum requirement is EUR 6.2 million and no additional national requirements apply, neither under Pillar 1 or 2.</w:t>
                            </w:r>
                          </w:p>
                          <w:p w14:paraId="3A99C129" w14:textId="77777777" w:rsidR="002D45CF" w:rsidRDefault="002D45CF" w:rsidP="00784AEC">
                            <w:pPr>
                              <w:rPr>
                                <w:lang w:val="en-GB"/>
                              </w:rPr>
                            </w:pPr>
                            <w:r>
                              <w:rPr>
                                <w:lang w:val="en-GB"/>
                              </w:rPr>
                              <w:t>No leverage requirements are currently applicable, but a decision has been taken to apply a leverage ratio of 3% in 4 years.</w:t>
                            </w:r>
                          </w:p>
                          <w:p w14:paraId="37941B5C" w14:textId="40B92920" w:rsidR="002D45CF" w:rsidRDefault="002D45CF" w:rsidP="00784AEC">
                            <w:pPr>
                              <w:rPr>
                                <w:lang w:val="en-GB"/>
                              </w:rPr>
                            </w:pPr>
                            <w:r>
                              <w:rPr>
                                <w:lang w:val="en-GB"/>
                              </w:rPr>
                              <w:t>Pillar 2 requirement is set at 1</w:t>
                            </w:r>
                            <w:r w:rsidR="009873BF">
                              <w:rPr>
                                <w:lang w:val="en-GB"/>
                              </w:rPr>
                              <w:t>,</w:t>
                            </w:r>
                            <w:r>
                              <w:rPr>
                                <w:lang w:val="en-GB"/>
                              </w:rPr>
                              <w:t>5%</w:t>
                            </w:r>
                            <w:r w:rsidR="009873BF">
                              <w:rPr>
                                <w:lang w:val="en-GB"/>
                              </w:rPr>
                              <w:t xml:space="preserve"> (of which 1% to be met by CET1)</w:t>
                            </w:r>
                            <w:r>
                              <w:rPr>
                                <w:lang w:val="en-GB"/>
                              </w:rPr>
                              <w:t xml:space="preserve"> and the </w:t>
                            </w:r>
                            <w:r w:rsidR="009873BF">
                              <w:rPr>
                                <w:lang w:val="en-GB"/>
                              </w:rPr>
                              <w:t>Pillar 2 guidance amounts to 1% (all CET 1).</w:t>
                            </w:r>
                          </w:p>
                          <w:p w14:paraId="47EA6D9D" w14:textId="77777777" w:rsidR="002D45CF" w:rsidRDefault="002D45CF" w:rsidP="00784AEC">
                            <w:pPr>
                              <w:rPr>
                                <w:lang w:val="en-GB"/>
                              </w:rPr>
                            </w:pPr>
                          </w:p>
                          <w:p w14:paraId="077C0E09" w14:textId="77777777" w:rsidR="002D45CF" w:rsidRDefault="002D45CF" w:rsidP="00784AEC">
                            <w:pPr>
                              <w:rPr>
                                <w:lang w:val="en-GB"/>
                              </w:rPr>
                            </w:pPr>
                            <w:r>
                              <w:rPr>
                                <w:lang w:val="en-GB"/>
                              </w:rPr>
                              <w:t>The combined buffer requirement is composed of:</w:t>
                            </w:r>
                          </w:p>
                          <w:p w14:paraId="3D331542" w14:textId="00E6B4FC" w:rsidR="002D45CF" w:rsidRDefault="002D45CF" w:rsidP="006550F9">
                            <w:pPr>
                              <w:pStyle w:val="ListParagraph"/>
                              <w:numPr>
                                <w:ilvl w:val="0"/>
                                <w:numId w:val="30"/>
                              </w:numPr>
                              <w:rPr>
                                <w:lang w:val="en-GB"/>
                              </w:rPr>
                            </w:pPr>
                            <w:r w:rsidRPr="006550F9">
                              <w:rPr>
                                <w:rFonts w:ascii="Verdana" w:hAnsi="Verdana"/>
                                <w:sz w:val="20"/>
                                <w:lang w:val="en-GB"/>
                              </w:rPr>
                              <w:t xml:space="preserve">A </w:t>
                            </w:r>
                            <w:r>
                              <w:rPr>
                                <w:rFonts w:ascii="Verdana" w:hAnsi="Verdana"/>
                                <w:sz w:val="20"/>
                                <w:lang w:val="en-GB"/>
                              </w:rPr>
                              <w:t>capital conservation buffer of 2,5%</w:t>
                            </w:r>
                          </w:p>
                          <w:p w14:paraId="6BC36256" w14:textId="77777777" w:rsidR="002D45CF" w:rsidRDefault="002D45CF" w:rsidP="006550F9">
                            <w:pPr>
                              <w:pStyle w:val="ListParagraph"/>
                              <w:numPr>
                                <w:ilvl w:val="0"/>
                                <w:numId w:val="30"/>
                              </w:numPr>
                              <w:rPr>
                                <w:lang w:val="en-GB"/>
                              </w:rPr>
                            </w:pPr>
                            <w:r>
                              <w:rPr>
                                <w:rFonts w:ascii="Verdana" w:hAnsi="Verdana"/>
                                <w:sz w:val="20"/>
                                <w:lang w:val="en-GB"/>
                              </w:rPr>
                              <w:t>No requirement for the institution-specific countercyclical Capital Buffer;</w:t>
                            </w:r>
                          </w:p>
                          <w:p w14:paraId="41A06385" w14:textId="77777777" w:rsidR="002D45CF" w:rsidRDefault="002D45CF" w:rsidP="006550F9">
                            <w:pPr>
                              <w:pStyle w:val="ListParagraph"/>
                              <w:numPr>
                                <w:ilvl w:val="0"/>
                                <w:numId w:val="30"/>
                              </w:numPr>
                              <w:rPr>
                                <w:lang w:val="en-GB"/>
                              </w:rPr>
                            </w:pPr>
                            <w:r>
                              <w:rPr>
                                <w:rFonts w:ascii="Verdana" w:hAnsi="Verdana"/>
                                <w:sz w:val="20"/>
                                <w:lang w:val="en-GB"/>
                              </w:rPr>
                              <w:t>A systemic risk buffer of 1% on EUR 5 billion of domestic exposures in a specific country, which is thus cumulative with the below O-SII buffer; and</w:t>
                            </w:r>
                          </w:p>
                          <w:p w14:paraId="4116BCE8" w14:textId="4968A287" w:rsidR="002D45CF" w:rsidRPr="009873BF" w:rsidRDefault="002D45CF" w:rsidP="006550F9">
                            <w:pPr>
                              <w:pStyle w:val="ListParagraph"/>
                              <w:numPr>
                                <w:ilvl w:val="0"/>
                                <w:numId w:val="30"/>
                              </w:numPr>
                              <w:rPr>
                                <w:lang w:val="en-GB"/>
                              </w:rPr>
                            </w:pPr>
                            <w:r>
                              <w:rPr>
                                <w:rFonts w:ascii="Verdana" w:hAnsi="Verdana"/>
                                <w:sz w:val="20"/>
                                <w:lang w:val="en-GB"/>
                              </w:rPr>
                              <w:t>An O-SII buffer of 1%.</w:t>
                            </w:r>
                          </w:p>
                          <w:p w14:paraId="4E2FE810" w14:textId="77777777" w:rsidR="009873BF" w:rsidRPr="00543061" w:rsidRDefault="009873BF" w:rsidP="009873BF">
                            <w:pPr>
                              <w:pStyle w:val="ListParagraph"/>
                              <w:rPr>
                                <w:lang w:val="en-GB"/>
                              </w:rPr>
                            </w:pPr>
                          </w:p>
                          <w:p w14:paraId="2059F716" w14:textId="39B1A1A6" w:rsidR="002D45CF" w:rsidRDefault="009873BF" w:rsidP="00784AEC">
                            <w:pPr>
                              <w:rPr>
                                <w:lang w:val="en-GB"/>
                              </w:rPr>
                            </w:pPr>
                            <w:r w:rsidRPr="009873BF">
                              <w:drawing>
                                <wp:inline distT="0" distB="0" distL="0" distR="0" wp14:anchorId="6E933378" wp14:editId="202A7E74">
                                  <wp:extent cx="5731510" cy="2935272"/>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2935272"/>
                                          </a:xfrm>
                                          <a:prstGeom prst="rect">
                                            <a:avLst/>
                                          </a:prstGeom>
                                          <a:noFill/>
                                          <a:ln>
                                            <a:noFill/>
                                          </a:ln>
                                        </pic:spPr>
                                      </pic:pic>
                                    </a:graphicData>
                                  </a:graphic>
                                </wp:inline>
                              </w:drawing>
                            </w:r>
                          </w:p>
                          <w:p w14:paraId="4F309926" w14:textId="5BE7F6BB" w:rsidR="002D45CF" w:rsidRPr="00C243CD" w:rsidRDefault="002D45CF" w:rsidP="00784AEC">
                            <w:pPr>
                              <w:rPr>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7BF81" id="_x0000_t202" coordsize="21600,21600" o:spt="202" path="m,l,21600r21600,l21600,xe">
                <v:stroke joinstyle="miter"/>
                <v:path gradientshapeok="t" o:connecttype="rect"/>
              </v:shapetype>
              <v:shape id="Text Box 32" o:spid="_x0000_s1026" type="#_x0000_t202" style="position:absolute;margin-left:43.5pt;margin-top:38.15pt;width:753.2pt;height:464.2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" fillcolor="window" strokeweight=".5pt">
                <v:textbox>
                  <w:txbxContent>
                    <w:p w14:paraId="3BBDA2A5" w14:textId="77777777" w:rsidR="002D45CF" w:rsidRPr="006550F9" w:rsidRDefault="002D45CF" w:rsidP="00784AEC">
                      <w:pPr>
                        <w:rPr>
                          <w:b/>
                          <w:lang w:val="en-GB"/>
                        </w:rPr>
                      </w:pPr>
                      <w:r w:rsidRPr="006550F9">
                        <w:rPr>
                          <w:b/>
                          <w:lang w:val="en-GB"/>
                        </w:rPr>
                        <w:t>Simplified example</w:t>
                      </w:r>
                    </w:p>
                    <w:p w14:paraId="75157831" w14:textId="77777777" w:rsidR="002D45CF" w:rsidRPr="006550F9" w:rsidRDefault="002D45CF" w:rsidP="00784AEC">
                      <w:pPr>
                        <w:rPr>
                          <w:lang w:val="en-GB"/>
                        </w:rPr>
                      </w:pPr>
                    </w:p>
                    <w:p w14:paraId="53B0F15A" w14:textId="6505F2C5" w:rsidR="002D45CF" w:rsidRDefault="002D45CF" w:rsidP="00784AEC">
                      <w:pPr>
                        <w:rPr>
                          <w:lang w:val="en-GB"/>
                        </w:rPr>
                      </w:pPr>
                      <w:r>
                        <w:rPr>
                          <w:lang w:val="en-GB"/>
                        </w:rPr>
                        <w:t xml:space="preserve">An institution has a total risk exposure amount of EUR 50 billion in line with CRR dispositions at the reporting date. </w:t>
                      </w:r>
                      <w:r w:rsidR="009873BF">
                        <w:rPr>
                          <w:lang w:val="en-GB"/>
                        </w:rPr>
                        <w:t xml:space="preserve">In the absence of </w:t>
                      </w:r>
                      <w:r>
                        <w:rPr>
                          <w:lang w:val="en-GB"/>
                        </w:rPr>
                        <w:t xml:space="preserve">transitional measures, the </w:t>
                      </w:r>
                      <w:r w:rsidR="009873BF">
                        <w:rPr>
                          <w:lang w:val="en-GB"/>
                        </w:rPr>
                        <w:t xml:space="preserve">transitional and </w:t>
                      </w:r>
                      <w:r>
                        <w:rPr>
                          <w:lang w:val="en-GB"/>
                        </w:rPr>
                        <w:t>fully loaded total risk exposure amount</w:t>
                      </w:r>
                      <w:r w:rsidR="009873BF">
                        <w:rPr>
                          <w:lang w:val="en-GB"/>
                        </w:rPr>
                        <w:t>s</w:t>
                      </w:r>
                      <w:r>
                        <w:rPr>
                          <w:lang w:val="en-GB"/>
                        </w:rPr>
                        <w:t xml:space="preserve"> would be EUR 51 billion.</w:t>
                      </w:r>
                    </w:p>
                    <w:p w14:paraId="4627E5C8" w14:textId="77777777" w:rsidR="002D45CF" w:rsidRDefault="002D45CF" w:rsidP="00784AEC">
                      <w:pPr>
                        <w:rPr>
                          <w:lang w:val="en-GB"/>
                        </w:rPr>
                      </w:pPr>
                    </w:p>
                    <w:p w14:paraId="03A70C91" w14:textId="77777777" w:rsidR="002D45CF" w:rsidRDefault="002D45CF" w:rsidP="00784AEC">
                      <w:pPr>
                        <w:rPr>
                          <w:lang w:val="en-GB"/>
                        </w:rPr>
                      </w:pPr>
                      <w:r>
                        <w:rPr>
                          <w:lang w:val="en-GB"/>
                        </w:rPr>
                        <w:t>The legal minimum requirement is EUR 6.2 million and no additional national requirements apply, neither under Pillar 1 or 2.</w:t>
                      </w:r>
                    </w:p>
                    <w:p w14:paraId="3A99C129" w14:textId="77777777" w:rsidR="002D45CF" w:rsidRDefault="002D45CF" w:rsidP="00784AEC">
                      <w:pPr>
                        <w:rPr>
                          <w:lang w:val="en-GB"/>
                        </w:rPr>
                      </w:pPr>
                      <w:r>
                        <w:rPr>
                          <w:lang w:val="en-GB"/>
                        </w:rPr>
                        <w:t>No leverage requirements are currently applicable, but a decision has been taken to apply a leverage ratio of 3% in 4 years.</w:t>
                      </w:r>
                    </w:p>
                    <w:p w14:paraId="37941B5C" w14:textId="40B92920" w:rsidR="002D45CF" w:rsidRDefault="002D45CF" w:rsidP="00784AEC">
                      <w:pPr>
                        <w:rPr>
                          <w:lang w:val="en-GB"/>
                        </w:rPr>
                      </w:pPr>
                      <w:r>
                        <w:rPr>
                          <w:lang w:val="en-GB"/>
                        </w:rPr>
                        <w:t>Pillar 2 requirement is set at 1</w:t>
                      </w:r>
                      <w:r w:rsidR="009873BF">
                        <w:rPr>
                          <w:lang w:val="en-GB"/>
                        </w:rPr>
                        <w:t>,</w:t>
                      </w:r>
                      <w:r>
                        <w:rPr>
                          <w:lang w:val="en-GB"/>
                        </w:rPr>
                        <w:t>5%</w:t>
                      </w:r>
                      <w:r w:rsidR="009873BF">
                        <w:rPr>
                          <w:lang w:val="en-GB"/>
                        </w:rPr>
                        <w:t xml:space="preserve"> (of which 1% to be met by CET1)</w:t>
                      </w:r>
                      <w:r>
                        <w:rPr>
                          <w:lang w:val="en-GB"/>
                        </w:rPr>
                        <w:t xml:space="preserve"> and the </w:t>
                      </w:r>
                      <w:r w:rsidR="009873BF">
                        <w:rPr>
                          <w:lang w:val="en-GB"/>
                        </w:rPr>
                        <w:t>Pillar 2 guidance amounts to 1% (all CET 1).</w:t>
                      </w:r>
                    </w:p>
                    <w:p w14:paraId="47EA6D9D" w14:textId="77777777" w:rsidR="002D45CF" w:rsidRDefault="002D45CF" w:rsidP="00784AEC">
                      <w:pPr>
                        <w:rPr>
                          <w:lang w:val="en-GB"/>
                        </w:rPr>
                      </w:pPr>
                    </w:p>
                    <w:p w14:paraId="077C0E09" w14:textId="77777777" w:rsidR="002D45CF" w:rsidRDefault="002D45CF" w:rsidP="00784AEC">
                      <w:pPr>
                        <w:rPr>
                          <w:lang w:val="en-GB"/>
                        </w:rPr>
                      </w:pPr>
                      <w:r>
                        <w:rPr>
                          <w:lang w:val="en-GB"/>
                        </w:rPr>
                        <w:t>The combined buffer requirement is composed of:</w:t>
                      </w:r>
                    </w:p>
                    <w:p w14:paraId="3D331542" w14:textId="00E6B4FC" w:rsidR="002D45CF" w:rsidRDefault="002D45CF" w:rsidP="006550F9">
                      <w:pPr>
                        <w:pStyle w:val="ListParagraph"/>
                        <w:numPr>
                          <w:ilvl w:val="0"/>
                          <w:numId w:val="30"/>
                        </w:numPr>
                        <w:rPr>
                          <w:lang w:val="en-GB"/>
                        </w:rPr>
                      </w:pPr>
                      <w:r w:rsidRPr="006550F9">
                        <w:rPr>
                          <w:rFonts w:ascii="Verdana" w:hAnsi="Verdana"/>
                          <w:sz w:val="20"/>
                          <w:lang w:val="en-GB"/>
                        </w:rPr>
                        <w:t xml:space="preserve">A </w:t>
                      </w:r>
                      <w:r>
                        <w:rPr>
                          <w:rFonts w:ascii="Verdana" w:hAnsi="Verdana"/>
                          <w:sz w:val="20"/>
                          <w:lang w:val="en-GB"/>
                        </w:rPr>
                        <w:t>capital conservation buffer of 2,5%</w:t>
                      </w:r>
                    </w:p>
                    <w:p w14:paraId="6BC36256" w14:textId="77777777" w:rsidR="002D45CF" w:rsidRDefault="002D45CF" w:rsidP="006550F9">
                      <w:pPr>
                        <w:pStyle w:val="ListParagraph"/>
                        <w:numPr>
                          <w:ilvl w:val="0"/>
                          <w:numId w:val="30"/>
                        </w:numPr>
                        <w:rPr>
                          <w:lang w:val="en-GB"/>
                        </w:rPr>
                      </w:pPr>
                      <w:r>
                        <w:rPr>
                          <w:rFonts w:ascii="Verdana" w:hAnsi="Verdana"/>
                          <w:sz w:val="20"/>
                          <w:lang w:val="en-GB"/>
                        </w:rPr>
                        <w:t>No requirement for the institution-specific countercyclical Capital Buffer;</w:t>
                      </w:r>
                    </w:p>
                    <w:p w14:paraId="41A06385" w14:textId="77777777" w:rsidR="002D45CF" w:rsidRDefault="002D45CF" w:rsidP="006550F9">
                      <w:pPr>
                        <w:pStyle w:val="ListParagraph"/>
                        <w:numPr>
                          <w:ilvl w:val="0"/>
                          <w:numId w:val="30"/>
                        </w:numPr>
                        <w:rPr>
                          <w:lang w:val="en-GB"/>
                        </w:rPr>
                      </w:pPr>
                      <w:r>
                        <w:rPr>
                          <w:rFonts w:ascii="Verdana" w:hAnsi="Verdana"/>
                          <w:sz w:val="20"/>
                          <w:lang w:val="en-GB"/>
                        </w:rPr>
                        <w:t>A systemic risk buffer of 1% on EUR 5 billion of domestic exposures in a specific country, which is thus cumulative with the below O-SII buffer; and</w:t>
                      </w:r>
                    </w:p>
                    <w:p w14:paraId="4116BCE8" w14:textId="4968A287" w:rsidR="002D45CF" w:rsidRPr="009873BF" w:rsidRDefault="002D45CF" w:rsidP="006550F9">
                      <w:pPr>
                        <w:pStyle w:val="ListParagraph"/>
                        <w:numPr>
                          <w:ilvl w:val="0"/>
                          <w:numId w:val="30"/>
                        </w:numPr>
                        <w:rPr>
                          <w:lang w:val="en-GB"/>
                        </w:rPr>
                      </w:pPr>
                      <w:r>
                        <w:rPr>
                          <w:rFonts w:ascii="Verdana" w:hAnsi="Verdana"/>
                          <w:sz w:val="20"/>
                          <w:lang w:val="en-GB"/>
                        </w:rPr>
                        <w:t>An O-SII buffer of 1%.</w:t>
                      </w:r>
                    </w:p>
                    <w:p w14:paraId="4E2FE810" w14:textId="77777777" w:rsidR="009873BF" w:rsidRPr="00543061" w:rsidRDefault="009873BF" w:rsidP="009873BF">
                      <w:pPr>
                        <w:pStyle w:val="ListParagraph"/>
                        <w:rPr>
                          <w:lang w:val="en-GB"/>
                        </w:rPr>
                      </w:pPr>
                    </w:p>
                    <w:p w14:paraId="2059F716" w14:textId="39B1A1A6" w:rsidR="002D45CF" w:rsidRDefault="009873BF" w:rsidP="00784AEC">
                      <w:pPr>
                        <w:rPr>
                          <w:lang w:val="en-GB"/>
                        </w:rPr>
                      </w:pPr>
                      <w:r w:rsidRPr="009873BF">
                        <w:drawing>
                          <wp:inline distT="0" distB="0" distL="0" distR="0" wp14:anchorId="6E933378" wp14:editId="202A7E74">
                            <wp:extent cx="5731510" cy="2935272"/>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2935272"/>
                                    </a:xfrm>
                                    <a:prstGeom prst="rect">
                                      <a:avLst/>
                                    </a:prstGeom>
                                    <a:noFill/>
                                    <a:ln>
                                      <a:noFill/>
                                    </a:ln>
                                  </pic:spPr>
                                </pic:pic>
                              </a:graphicData>
                            </a:graphic>
                          </wp:inline>
                        </w:drawing>
                      </w:r>
                    </w:p>
                    <w:p w14:paraId="4F309926" w14:textId="5BE7F6BB" w:rsidR="002D45CF" w:rsidRPr="00C243CD" w:rsidRDefault="002D45CF" w:rsidP="00784AEC">
                      <w:pPr>
                        <w:rPr>
                          <w:b/>
                          <w:lang w:val="en-GB"/>
                        </w:rPr>
                      </w:pPr>
                    </w:p>
                  </w:txbxContent>
                </v:textbox>
                <w10:wrap anchorx="page"/>
              </v:shape>
            </w:pict>
          </mc:Fallback>
        </mc:AlternateContent>
      </w:r>
    </w:p>
    <w:p w14:paraId="1503EA9D" w14:textId="77777777" w:rsidR="0029682A" w:rsidRPr="005A42C4" w:rsidRDefault="0029682A" w:rsidP="00B27610">
      <w:pPr>
        <w:pStyle w:val="Heading3"/>
        <w:numPr>
          <w:ilvl w:val="0"/>
          <w:numId w:val="22"/>
        </w:numPr>
        <w:ind w:left="426" w:hanging="426"/>
        <w:rPr>
          <w:rFonts w:ascii="Cambria" w:hAnsi="Cambria"/>
          <w:lang w:val="en-GB"/>
        </w:rPr>
        <w:sectPr w:rsidR="0029682A" w:rsidRPr="005A42C4" w:rsidSect="006550F9">
          <w:pgSz w:w="16838" w:h="11906" w:orient="landscape"/>
          <w:pgMar w:top="1440" w:right="2552" w:bottom="1440" w:left="1440" w:header="709" w:footer="709" w:gutter="0"/>
          <w:cols w:space="708"/>
          <w:titlePg/>
          <w:docGrid w:linePitch="360"/>
        </w:sectPr>
      </w:pPr>
    </w:p>
    <w:p w14:paraId="524C58E8" w14:textId="77777777" w:rsidR="002B5DBA" w:rsidRPr="005A42C4" w:rsidRDefault="002B5DBA" w:rsidP="00B27610">
      <w:pPr>
        <w:pStyle w:val="Heading3"/>
        <w:numPr>
          <w:ilvl w:val="0"/>
          <w:numId w:val="22"/>
        </w:numPr>
        <w:ind w:left="426" w:hanging="426"/>
        <w:rPr>
          <w:rFonts w:ascii="Cambria" w:hAnsi="Cambria"/>
          <w:lang w:val="en-GB"/>
        </w:rPr>
      </w:pPr>
      <w:bookmarkStart w:id="199" w:name="_Toc12973024"/>
      <w:bookmarkStart w:id="200" w:name="_Toc13755754"/>
      <w:r w:rsidRPr="005A42C4">
        <w:rPr>
          <w:rFonts w:ascii="Cambria" w:hAnsi="Cambria"/>
          <w:lang w:val="en-GB"/>
        </w:rPr>
        <w:lastRenderedPageBreak/>
        <w:t>T03.01</w:t>
      </w:r>
      <w:r w:rsidR="009202A4" w:rsidRPr="005A42C4">
        <w:rPr>
          <w:rFonts w:ascii="Cambria" w:hAnsi="Cambria"/>
          <w:lang w:val="en-GB"/>
        </w:rPr>
        <w:t xml:space="preserve"> - Intragroup Liabilities</w:t>
      </w:r>
      <w:bookmarkEnd w:id="199"/>
      <w:bookmarkEnd w:id="200"/>
    </w:p>
    <w:p w14:paraId="0EE658F5" w14:textId="0B858E42" w:rsidR="00B9129C" w:rsidRDefault="00B9129C" w:rsidP="00B9129C">
      <w:pPr>
        <w:rPr>
          <w:rFonts w:ascii="Cambria" w:hAnsi="Cambria"/>
          <w:lang w:val="en-GB"/>
        </w:rPr>
      </w:pPr>
      <w:r>
        <w:rPr>
          <w:rFonts w:ascii="Cambria" w:hAnsi="Cambria"/>
          <w:lang w:val="en-GB"/>
        </w:rPr>
        <w:t>This template, along with T03.02 and T03.03, covers the reporting requirements for CIR 2018/1624 template Z 04.00 “Intragroup financial interconnections”.</w:t>
      </w:r>
    </w:p>
    <w:p w14:paraId="341F34E5" w14:textId="15DB722C" w:rsidR="00B9129C" w:rsidRDefault="00B9129C" w:rsidP="00B27610">
      <w:pPr>
        <w:rPr>
          <w:rFonts w:ascii="Cambria" w:hAnsi="Cambria"/>
          <w:lang w:val="en-GB"/>
        </w:rPr>
      </w:pPr>
    </w:p>
    <w:p w14:paraId="55FBAE3F" w14:textId="5A48C0F4" w:rsidR="00D24E8B" w:rsidRPr="00C243CD" w:rsidRDefault="00D24E8B" w:rsidP="00B27610">
      <w:pPr>
        <w:rPr>
          <w:rFonts w:ascii="Cambria" w:hAnsi="Cambria"/>
          <w:lang w:val="en-GB"/>
        </w:rPr>
      </w:pPr>
      <w:r w:rsidRPr="005A42C4">
        <w:rPr>
          <w:rFonts w:ascii="Cambria" w:hAnsi="Cambria"/>
          <w:lang w:val="en-GB"/>
        </w:rPr>
        <w:t xml:space="preserve">This table covers all </w:t>
      </w:r>
      <w:r w:rsidR="00C67D27">
        <w:rPr>
          <w:rFonts w:ascii="Cambria" w:hAnsi="Cambria"/>
          <w:lang w:val="en-GB"/>
        </w:rPr>
        <w:t xml:space="preserve">own funds and </w:t>
      </w:r>
      <w:r w:rsidRPr="00C243CD">
        <w:rPr>
          <w:rFonts w:ascii="Cambria" w:hAnsi="Cambria"/>
          <w:lang w:val="en-GB"/>
        </w:rPr>
        <w:t xml:space="preserve">liabilities, whether </w:t>
      </w:r>
      <w:r w:rsidR="00DC6577" w:rsidRPr="00C243CD">
        <w:rPr>
          <w:rFonts w:ascii="Cambria" w:hAnsi="Cambria"/>
          <w:lang w:val="en-GB"/>
        </w:rPr>
        <w:t>these</w:t>
      </w:r>
      <w:r w:rsidRPr="00C243CD">
        <w:rPr>
          <w:rFonts w:ascii="Cambria" w:hAnsi="Cambria"/>
          <w:lang w:val="en-GB"/>
        </w:rPr>
        <w:t xml:space="preserve"> are securities, deposits or other </w:t>
      </w:r>
      <w:r w:rsidR="006C3BDB" w:rsidRPr="00C243CD">
        <w:rPr>
          <w:rFonts w:ascii="Cambria" w:hAnsi="Cambria"/>
          <w:lang w:val="en-GB"/>
        </w:rPr>
        <w:t xml:space="preserve">(secured) </w:t>
      </w:r>
      <w:r w:rsidRPr="00C243CD">
        <w:rPr>
          <w:rFonts w:ascii="Cambria" w:hAnsi="Cambria"/>
          <w:lang w:val="en-GB"/>
        </w:rPr>
        <w:t>liabilities</w:t>
      </w:r>
      <w:r w:rsidR="00E13AFA" w:rsidRPr="00C243CD">
        <w:rPr>
          <w:rFonts w:ascii="Cambria" w:hAnsi="Cambria"/>
          <w:lang w:val="en-GB"/>
        </w:rPr>
        <w:t>, including those recognized as own funds</w:t>
      </w:r>
      <w:r w:rsidR="006C3BDB" w:rsidRPr="00C243CD">
        <w:rPr>
          <w:rFonts w:ascii="Cambria" w:hAnsi="Cambria"/>
          <w:lang w:val="en-GB"/>
        </w:rPr>
        <w:t>.</w:t>
      </w:r>
      <w:r w:rsidR="006131BD" w:rsidRPr="00C243CD">
        <w:rPr>
          <w:rFonts w:ascii="Cambria" w:hAnsi="Cambria"/>
          <w:lang w:val="en-GB"/>
        </w:rPr>
        <w:t xml:space="preserve"> Entities to be considered as intragroup are those entities that - in line with the definition of column </w:t>
      </w:r>
      <w:r w:rsidR="00DA3A5D" w:rsidRPr="00C243CD">
        <w:rPr>
          <w:rFonts w:ascii="Cambria" w:hAnsi="Cambria"/>
          <w:lang w:val="en-GB"/>
        </w:rPr>
        <w:t>c</w:t>
      </w:r>
      <w:r w:rsidR="00833A16">
        <w:rPr>
          <w:rFonts w:ascii="Cambria" w:hAnsi="Cambria"/>
          <w:lang w:val="en-GB"/>
        </w:rPr>
        <w:t>013</w:t>
      </w:r>
      <w:r w:rsidR="00471BA2" w:rsidRPr="00C243CD">
        <w:rPr>
          <w:rFonts w:ascii="Cambria" w:hAnsi="Cambria"/>
          <w:lang w:val="en-GB"/>
        </w:rPr>
        <w:t>x</w:t>
      </w:r>
      <w:r w:rsidR="006131BD" w:rsidRPr="00C243CD">
        <w:rPr>
          <w:rFonts w:ascii="Cambria" w:hAnsi="Cambria"/>
          <w:lang w:val="en-GB"/>
        </w:rPr>
        <w:t xml:space="preserve"> of T01.00 - belong to the accounting scope of consolidation</w:t>
      </w:r>
      <w:r w:rsidR="007A2597" w:rsidRPr="00C243CD">
        <w:rPr>
          <w:rFonts w:ascii="Cambria" w:hAnsi="Cambria"/>
          <w:lang w:val="en-GB"/>
        </w:rPr>
        <w:t xml:space="preserve"> of the ultimate parent entity</w:t>
      </w:r>
      <w:r w:rsidR="006131BD" w:rsidRPr="00C243CD">
        <w:rPr>
          <w:rFonts w:ascii="Cambria" w:hAnsi="Cambria"/>
          <w:lang w:val="en-GB"/>
        </w:rPr>
        <w:t>.</w:t>
      </w:r>
      <w:r w:rsidR="006C3BDB" w:rsidRPr="00C243CD">
        <w:rPr>
          <w:rFonts w:ascii="Cambria" w:hAnsi="Cambria"/>
          <w:lang w:val="en-GB"/>
        </w:rPr>
        <w:t xml:space="preserve"> As a result, these liabilities shall not be reported under the detailed tabs T04.00 through T06.00 and T08.00.</w:t>
      </w:r>
      <w:r w:rsidR="00935A83" w:rsidRPr="00C243CD">
        <w:rPr>
          <w:rFonts w:ascii="Cambria" w:hAnsi="Cambria"/>
          <w:lang w:val="en-GB"/>
        </w:rPr>
        <w:t xml:space="preserve"> Derivatives are specific in nature and should not be reported under T03.01, but always in T07.00 as applicable.</w:t>
      </w:r>
    </w:p>
    <w:p w14:paraId="33588B4B" w14:textId="77777777" w:rsidR="005C174B" w:rsidRDefault="005C174B" w:rsidP="00B27610">
      <w:pPr>
        <w:rPr>
          <w:rFonts w:ascii="Cambria" w:hAnsi="Cambria"/>
          <w:lang w:val="en-GB"/>
        </w:rPr>
      </w:pPr>
      <w:r w:rsidRPr="00C243CD">
        <w:rPr>
          <w:rFonts w:ascii="Cambria" w:hAnsi="Cambria"/>
          <w:lang w:val="en-GB"/>
        </w:rPr>
        <w:t>For the purposes of this table, liabilities have to be reported on a transaction basis, i.e. each transaction reported as an individual line item.</w:t>
      </w:r>
      <w:r w:rsidR="00E92F58" w:rsidRPr="00C243CD">
        <w:rPr>
          <w:rFonts w:ascii="Cambria" w:hAnsi="Cambria"/>
          <w:lang w:val="en-GB"/>
        </w:rPr>
        <w:t xml:space="preserve"> No reporting thresholds are applicable in this respect.</w:t>
      </w:r>
    </w:p>
    <w:p w14:paraId="66E47F01" w14:textId="5F60CB7F" w:rsidR="004F470B" w:rsidRPr="00C243CD" w:rsidRDefault="00DA3A5D" w:rsidP="004F470B">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10 - N°</w:t>
      </w:r>
    </w:p>
    <w:p w14:paraId="66E9437F" w14:textId="77777777" w:rsidR="004F470B" w:rsidRPr="00C243CD" w:rsidRDefault="004F470B" w:rsidP="004F470B">
      <w:pPr>
        <w:rPr>
          <w:rFonts w:ascii="Cambria" w:hAnsi="Cambria"/>
          <w:lang w:val="en-GB"/>
        </w:rPr>
      </w:pPr>
      <w:r w:rsidRPr="00C243CD">
        <w:rPr>
          <w:rFonts w:ascii="Cambria" w:hAnsi="Cambria"/>
          <w:lang w:val="en-GB"/>
        </w:rPr>
        <w:t>Unique number/primary key to identify the line items.</w:t>
      </w:r>
    </w:p>
    <w:p w14:paraId="1DCF3BD3" w14:textId="03F66FDA" w:rsidR="00DA5C81"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2</w:t>
      </w:r>
      <w:r w:rsidR="00DA5C81" w:rsidRPr="00C243CD">
        <w:rPr>
          <w:rFonts w:ascii="Cambria" w:hAnsi="Cambria"/>
          <w:lang w:val="en-GB"/>
        </w:rPr>
        <w:t>0 - Line</w:t>
      </w:r>
    </w:p>
    <w:p w14:paraId="3236DB94" w14:textId="77777777" w:rsidR="00DA5C81" w:rsidRPr="00C243CD" w:rsidRDefault="00DA5C81" w:rsidP="009474F1">
      <w:pPr>
        <w:rPr>
          <w:rFonts w:ascii="Cambria" w:hAnsi="Cambria"/>
          <w:lang w:val="en-GB"/>
        </w:rPr>
      </w:pPr>
      <w:r w:rsidRPr="00C243CD">
        <w:rPr>
          <w:rFonts w:ascii="Cambria" w:hAnsi="Cambria"/>
          <w:lang w:val="en-GB"/>
        </w:rPr>
        <w:t xml:space="preserve">For each instrument, </w:t>
      </w:r>
      <w:r w:rsidR="007D2893" w:rsidRPr="00C243CD">
        <w:rPr>
          <w:rFonts w:ascii="Cambria" w:hAnsi="Cambria"/>
          <w:lang w:val="en-GB"/>
        </w:rPr>
        <w:t xml:space="preserve">a </w:t>
      </w:r>
      <w:r w:rsidRPr="00C243CD">
        <w:rPr>
          <w:rFonts w:ascii="Cambria" w:hAnsi="Cambria"/>
          <w:lang w:val="en-GB"/>
        </w:rPr>
        <w:t>reconcil</w:t>
      </w:r>
      <w:r w:rsidR="007D2893" w:rsidRPr="00C243CD">
        <w:rPr>
          <w:rFonts w:ascii="Cambria" w:hAnsi="Cambria"/>
          <w:lang w:val="en-GB"/>
        </w:rPr>
        <w:t>iation</w:t>
      </w:r>
      <w:r w:rsidRPr="00C243CD">
        <w:rPr>
          <w:rFonts w:ascii="Cambria" w:hAnsi="Cambria"/>
          <w:lang w:val="en-GB"/>
        </w:rPr>
        <w:t xml:space="preserve"> with </w:t>
      </w:r>
      <w:r w:rsidR="007D2893" w:rsidRPr="00C243CD">
        <w:rPr>
          <w:rFonts w:ascii="Cambria" w:hAnsi="Cambria"/>
          <w:lang w:val="en-GB"/>
        </w:rPr>
        <w:t xml:space="preserve">the categories of liabilities of the </w:t>
      </w:r>
      <w:r w:rsidRPr="00C243CD">
        <w:rPr>
          <w:rFonts w:ascii="Cambria" w:hAnsi="Cambria"/>
          <w:lang w:val="en-GB"/>
        </w:rPr>
        <w:t xml:space="preserve">liability structure </w:t>
      </w:r>
      <w:r w:rsidR="007D2893" w:rsidRPr="00C243CD">
        <w:rPr>
          <w:rFonts w:ascii="Cambria" w:hAnsi="Cambria"/>
          <w:lang w:val="en-GB"/>
        </w:rPr>
        <w:t>in T01.00 has to be provided</w:t>
      </w:r>
      <w:r w:rsidR="00460436" w:rsidRPr="00C243CD">
        <w:rPr>
          <w:rFonts w:ascii="Cambria" w:hAnsi="Cambria"/>
          <w:lang w:val="en-GB"/>
        </w:rPr>
        <w:t xml:space="preserve"> at the level of </w:t>
      </w:r>
      <w:r w:rsidR="00C51450" w:rsidRPr="00C243CD">
        <w:rPr>
          <w:rFonts w:ascii="Cambria" w:hAnsi="Cambria"/>
          <w:lang w:val="en-GB"/>
        </w:rPr>
        <w:t>maturity</w:t>
      </w:r>
      <w:r w:rsidR="00FC47FC" w:rsidRPr="00C243CD">
        <w:rPr>
          <w:rFonts w:ascii="Cambria" w:hAnsi="Cambria"/>
          <w:lang w:val="en-GB"/>
        </w:rPr>
        <w:t xml:space="preserve"> </w:t>
      </w:r>
      <w:r w:rsidR="00E62E61" w:rsidRPr="00C243CD">
        <w:rPr>
          <w:rFonts w:ascii="Cambria" w:hAnsi="Cambria"/>
          <w:lang w:val="en-GB"/>
        </w:rPr>
        <w:t>f</w:t>
      </w:r>
      <w:r w:rsidR="00FC47FC" w:rsidRPr="00C243CD">
        <w:rPr>
          <w:rFonts w:ascii="Cambria" w:hAnsi="Cambria"/>
          <w:lang w:val="en-GB"/>
        </w:rPr>
        <w:t xml:space="preserve">rom </w:t>
      </w:r>
      <w:r w:rsidR="00E62E61" w:rsidRPr="00C243CD">
        <w:rPr>
          <w:rFonts w:ascii="Cambria" w:hAnsi="Cambria"/>
          <w:lang w:val="en-GB"/>
        </w:rPr>
        <w:t xml:space="preserve">a </w:t>
      </w:r>
      <w:r w:rsidR="00FC47FC" w:rsidRPr="00C243CD">
        <w:rPr>
          <w:rFonts w:ascii="Cambria" w:hAnsi="Cambria"/>
          <w:lang w:val="en-GB"/>
        </w:rPr>
        <w:t>predefined list of values.</w:t>
      </w:r>
    </w:p>
    <w:p w14:paraId="36157CBB" w14:textId="60F27414" w:rsidR="00661A49" w:rsidRPr="007A58AD" w:rsidRDefault="00661A49" w:rsidP="00661A49">
      <w:pPr>
        <w:pStyle w:val="Heading4"/>
        <w:rPr>
          <w:rFonts w:ascii="Cambria" w:hAnsi="Cambria"/>
          <w:lang w:val="en-GB"/>
        </w:rPr>
      </w:pPr>
      <w:r w:rsidRPr="007A58AD">
        <w:rPr>
          <w:rFonts w:ascii="Cambria" w:hAnsi="Cambria"/>
          <w:lang w:val="en-GB"/>
        </w:rPr>
        <w:t>c00</w:t>
      </w:r>
      <w:r>
        <w:rPr>
          <w:rFonts w:ascii="Cambria" w:hAnsi="Cambria"/>
          <w:lang w:val="en-GB"/>
        </w:rPr>
        <w:t>21</w:t>
      </w:r>
      <w:r w:rsidRPr="007A58AD">
        <w:rPr>
          <w:rFonts w:ascii="Cambria" w:hAnsi="Cambria"/>
          <w:lang w:val="en-GB"/>
        </w:rPr>
        <w:t xml:space="preserve"> - Column</w:t>
      </w:r>
    </w:p>
    <w:p w14:paraId="2AE5E849" w14:textId="2BEA7917" w:rsidR="00661A49" w:rsidRDefault="00661A49" w:rsidP="00C243CD">
      <w:pPr>
        <w:rPr>
          <w:rFonts w:ascii="Cambria" w:hAnsi="Cambria"/>
          <w:lang w:val="en-GB"/>
        </w:rPr>
      </w:pPr>
      <w:r w:rsidRPr="007A58AD">
        <w:rPr>
          <w:rFonts w:ascii="Cambria" w:hAnsi="Cambria"/>
          <w:lang w:val="en-GB"/>
        </w:rPr>
        <w:t>For each instrument, a reconciliation with the counterparty class in T01.00 to which the liability is owed has to be provided from predefined list of values.</w:t>
      </w:r>
    </w:p>
    <w:p w14:paraId="7D929301" w14:textId="6B5674E2" w:rsidR="00D202BC" w:rsidRPr="00C243CD" w:rsidRDefault="00DA3A5D" w:rsidP="009474F1">
      <w:pPr>
        <w:pStyle w:val="Heading4"/>
        <w:rPr>
          <w:rFonts w:ascii="Cambria" w:hAnsi="Cambria"/>
          <w:lang w:val="en-GB"/>
        </w:rPr>
      </w:pPr>
      <w:r w:rsidRPr="00C243CD">
        <w:rPr>
          <w:rFonts w:ascii="Cambria" w:hAnsi="Cambria"/>
          <w:lang w:val="en-GB"/>
        </w:rPr>
        <w:t>c00</w:t>
      </w:r>
      <w:r w:rsidR="00D202BC" w:rsidRPr="00C243CD">
        <w:rPr>
          <w:rFonts w:ascii="Cambria" w:hAnsi="Cambria"/>
          <w:lang w:val="en-GB"/>
        </w:rPr>
        <w:t>30 - Insolvency Ranking</w:t>
      </w:r>
    </w:p>
    <w:p w14:paraId="7B1E902F" w14:textId="79E8B641" w:rsidR="00D202BC" w:rsidRPr="00C243CD" w:rsidRDefault="00D202BC" w:rsidP="009474F1">
      <w:pPr>
        <w:rPr>
          <w:rFonts w:ascii="Cambria" w:hAnsi="Cambria"/>
          <w:lang w:val="en-GB"/>
        </w:rPr>
      </w:pPr>
      <w:r w:rsidRPr="00C243CD">
        <w:rPr>
          <w:rFonts w:ascii="Cambria" w:hAnsi="Cambria"/>
          <w:lang w:val="en-GB"/>
        </w:rPr>
        <w:t xml:space="preserve">Identified ranking in line with </w:t>
      </w:r>
      <w:r w:rsidR="00E62E61" w:rsidRPr="00C243CD">
        <w:rPr>
          <w:rFonts w:ascii="Cambria" w:hAnsi="Cambria"/>
          <w:lang w:val="en-GB"/>
        </w:rPr>
        <w:t xml:space="preserve">Part 1, Section 6 </w:t>
      </w:r>
      <w:r w:rsidRPr="00C243CD">
        <w:rPr>
          <w:rFonts w:ascii="Cambria" w:hAnsi="Cambria"/>
          <w:lang w:val="en-GB"/>
        </w:rPr>
        <w:t xml:space="preserve">of the </w:t>
      </w:r>
      <w:r w:rsidR="00341874" w:rsidRPr="00C243CD">
        <w:rPr>
          <w:rFonts w:ascii="Cambria" w:hAnsi="Cambria"/>
          <w:lang w:val="en-GB"/>
        </w:rPr>
        <w:t>guidance</w:t>
      </w:r>
      <w:r w:rsidRPr="00C243CD">
        <w:rPr>
          <w:rFonts w:ascii="Cambria" w:hAnsi="Cambria"/>
          <w:lang w:val="en-GB"/>
        </w:rPr>
        <w:t>.</w:t>
      </w:r>
      <w:r w:rsidR="00696BC4">
        <w:rPr>
          <w:rFonts w:ascii="Cambria" w:hAnsi="Cambria"/>
          <w:lang w:val="en-GB"/>
        </w:rPr>
        <w:t xml:space="preserve"> </w:t>
      </w:r>
    </w:p>
    <w:p w14:paraId="5E8E60F8" w14:textId="6E090596" w:rsidR="00E20340" w:rsidRPr="00C243CD" w:rsidRDefault="00DA3A5D" w:rsidP="009474F1">
      <w:pPr>
        <w:pStyle w:val="Heading4"/>
        <w:rPr>
          <w:rFonts w:ascii="Cambria" w:hAnsi="Cambria"/>
          <w:lang w:val="en-GB"/>
        </w:rPr>
      </w:pPr>
      <w:r w:rsidRPr="00C243CD">
        <w:rPr>
          <w:rFonts w:ascii="Cambria" w:hAnsi="Cambria"/>
          <w:lang w:val="en-GB"/>
        </w:rPr>
        <w:t>c00</w:t>
      </w:r>
      <w:r w:rsidR="00E20340" w:rsidRPr="00C243CD">
        <w:rPr>
          <w:rFonts w:ascii="Cambria" w:hAnsi="Cambria"/>
          <w:lang w:val="en-GB"/>
        </w:rPr>
        <w:t xml:space="preserve">40 - </w:t>
      </w:r>
      <w:r w:rsidR="00E616B6">
        <w:rPr>
          <w:rFonts w:ascii="Cambria" w:hAnsi="Cambria"/>
          <w:lang w:val="en-GB"/>
        </w:rPr>
        <w:t>Contract</w:t>
      </w:r>
      <w:r w:rsidR="005C174B" w:rsidRPr="00C243CD">
        <w:rPr>
          <w:rFonts w:ascii="Cambria" w:hAnsi="Cambria"/>
          <w:lang w:val="en-GB"/>
        </w:rPr>
        <w:t xml:space="preserve"> identifier</w:t>
      </w:r>
    </w:p>
    <w:p w14:paraId="172AFAB7" w14:textId="77777777" w:rsidR="00115A34" w:rsidRPr="00C243CD" w:rsidRDefault="00115A34" w:rsidP="006550F9">
      <w:pPr>
        <w:rPr>
          <w:rFonts w:ascii="Cambria" w:hAnsi="Cambria"/>
          <w:lang w:val="en-GB"/>
        </w:rPr>
      </w:pPr>
      <w:r w:rsidRPr="00C243CD">
        <w:rPr>
          <w:rFonts w:ascii="Cambria" w:hAnsi="Cambria"/>
          <w:lang w:val="en-GB"/>
        </w:rPr>
        <w:t>Internal identifier of the contract, as equivalent to the ISIN for securities.</w:t>
      </w:r>
    </w:p>
    <w:p w14:paraId="53693E8D" w14:textId="4F81D4FD" w:rsidR="00F849E9" w:rsidRDefault="00F849E9" w:rsidP="009474F1">
      <w:pPr>
        <w:pStyle w:val="Heading4"/>
        <w:rPr>
          <w:rFonts w:ascii="Cambria" w:hAnsi="Cambria"/>
          <w:lang w:val="en-GB"/>
        </w:rPr>
      </w:pPr>
      <w:r>
        <w:rPr>
          <w:rFonts w:ascii="Cambria" w:hAnsi="Cambria"/>
          <w:lang w:val="en-GB"/>
        </w:rPr>
        <w:t>c0045 – Entity name of the lending entity</w:t>
      </w:r>
    </w:p>
    <w:p w14:paraId="6ED09B1D" w14:textId="6DD0D3F6" w:rsidR="00F849E9" w:rsidRDefault="00F849E9" w:rsidP="00F849E9">
      <w:pPr>
        <w:rPr>
          <w:rFonts w:ascii="Cambria" w:hAnsi="Cambria"/>
          <w:lang w:val="en-GB"/>
        </w:rPr>
      </w:pPr>
      <w:r w:rsidRPr="008125B1">
        <w:rPr>
          <w:rFonts w:ascii="Cambria" w:hAnsi="Cambria"/>
          <w:lang w:val="en-GB"/>
        </w:rPr>
        <w:t xml:space="preserve">Must be different from the entity name </w:t>
      </w:r>
      <w:r w:rsidR="00504B9B">
        <w:rPr>
          <w:rFonts w:ascii="Cambria" w:hAnsi="Cambria"/>
          <w:lang w:val="en-GB"/>
        </w:rPr>
        <w:t>reported in</w:t>
      </w:r>
      <w:r w:rsidRPr="008125B1">
        <w:rPr>
          <w:rFonts w:ascii="Cambria" w:hAnsi="Cambria"/>
          <w:lang w:val="en-GB"/>
        </w:rPr>
        <w:t xml:space="preserve"> </w:t>
      </w:r>
      <w:r w:rsidR="008125B1">
        <w:rPr>
          <w:rFonts w:ascii="Cambria" w:hAnsi="Cambria"/>
          <w:lang w:val="en-GB"/>
        </w:rPr>
        <w:t>T99.00-r</w:t>
      </w:r>
      <w:r w:rsidRPr="008125B1">
        <w:rPr>
          <w:rFonts w:ascii="Cambria" w:hAnsi="Cambria"/>
          <w:lang w:val="en-GB"/>
        </w:rPr>
        <w:t>0010</w:t>
      </w:r>
      <w:r w:rsidR="008125B1">
        <w:rPr>
          <w:rFonts w:ascii="Cambria" w:hAnsi="Cambria"/>
          <w:lang w:val="en-GB"/>
        </w:rPr>
        <w:t>.</w:t>
      </w:r>
    </w:p>
    <w:p w14:paraId="4BFC96AA" w14:textId="76A12430" w:rsidR="00A11BE7" w:rsidRPr="00C243CD" w:rsidRDefault="00A11BE7" w:rsidP="00A11BE7">
      <w:pPr>
        <w:pStyle w:val="Heading4"/>
        <w:rPr>
          <w:rFonts w:ascii="Cambria" w:hAnsi="Cambria"/>
          <w:lang w:val="en-GB"/>
        </w:rPr>
      </w:pPr>
      <w:r w:rsidRPr="00C243CD">
        <w:rPr>
          <w:rFonts w:ascii="Cambria" w:hAnsi="Cambria"/>
          <w:lang w:val="en-GB"/>
        </w:rPr>
        <w:t xml:space="preserve">c0050 - </w:t>
      </w:r>
      <w:r w:rsidR="00E616B6" w:rsidRPr="00E616B6">
        <w:rPr>
          <w:rFonts w:ascii="Cambria" w:hAnsi="Cambria"/>
          <w:lang w:val="en-GB"/>
        </w:rPr>
        <w:t>Identifier of Lending Entity (preferably LEI)</w:t>
      </w:r>
    </w:p>
    <w:p w14:paraId="168E48A6" w14:textId="34ABBBAF" w:rsidR="00A11BE7" w:rsidRPr="00A11BE7" w:rsidRDefault="00A11BE7" w:rsidP="00F849E9">
      <w:pPr>
        <w:rPr>
          <w:rFonts w:ascii="Cambria" w:hAnsi="Cambria"/>
          <w:lang w:val="en-GB"/>
        </w:rPr>
      </w:pPr>
      <w:r w:rsidRPr="00C243CD">
        <w:rPr>
          <w:rFonts w:ascii="Cambria" w:hAnsi="Cambria"/>
          <w:lang w:val="en-GB"/>
        </w:rPr>
        <w:t xml:space="preserve">The unique LEI code for the lending entity, in line with requirements by EMIR or Dodd-Frank, for which the report is submitted. In the absence of a LEI, the </w:t>
      </w:r>
      <w:r w:rsidRPr="00C243CD">
        <w:rPr>
          <w:rFonts w:ascii="Cambria" w:hAnsi="Cambria"/>
          <w:szCs w:val="20"/>
          <w:lang w:val="en-GB" w:eastAsia="en-GB"/>
        </w:rPr>
        <w:t>ECB Monetary Financial Institutions unique IDentifier (MFI ID) of the credit institution for use in RIAD should be used. In absence of both such identifiers exclusively, the internal identifier can be used.</w:t>
      </w:r>
    </w:p>
    <w:p w14:paraId="7F6076B4" w14:textId="111966ED" w:rsidR="00047E4D" w:rsidRDefault="00047E4D" w:rsidP="00F849E9">
      <w:pPr>
        <w:rPr>
          <w:rFonts w:ascii="Cambria" w:eastAsiaTheme="majorEastAsia" w:hAnsi="Cambria" w:cstheme="majorBidi"/>
          <w:i/>
          <w:iCs/>
          <w:color w:val="2E74B5" w:themeColor="accent1" w:themeShade="BF"/>
          <w:lang w:val="en-GB"/>
        </w:rPr>
      </w:pPr>
      <w:r>
        <w:rPr>
          <w:rFonts w:ascii="Cambria" w:eastAsiaTheme="majorEastAsia" w:hAnsi="Cambria" w:cstheme="majorBidi"/>
          <w:i/>
          <w:iCs/>
          <w:color w:val="2E74B5" w:themeColor="accent1" w:themeShade="BF"/>
          <w:lang w:val="en-GB"/>
        </w:rPr>
        <w:t>c</w:t>
      </w:r>
      <w:r w:rsidRPr="00047E4D">
        <w:rPr>
          <w:rFonts w:ascii="Cambria" w:eastAsiaTheme="majorEastAsia" w:hAnsi="Cambria" w:cstheme="majorBidi"/>
          <w:i/>
          <w:iCs/>
          <w:color w:val="2E74B5" w:themeColor="accent1" w:themeShade="BF"/>
          <w:lang w:val="en-GB"/>
        </w:rPr>
        <w:t>0053 –Type of Identifier</w:t>
      </w:r>
    </w:p>
    <w:p w14:paraId="29E0F562" w14:textId="2A7DFC05" w:rsidR="00047E4D" w:rsidRPr="003D6B3C" w:rsidRDefault="003D6B3C" w:rsidP="003D6B3C">
      <w:pPr>
        <w:rPr>
          <w:rFonts w:ascii="Cambria" w:hAnsi="Cambria"/>
          <w:lang w:val="en-GB"/>
        </w:rPr>
      </w:pPr>
      <w:r>
        <w:rPr>
          <w:rFonts w:ascii="Cambria" w:hAnsi="Cambria"/>
          <w:lang w:val="en-GB"/>
        </w:rPr>
        <w:t>To be chosen among the following options</w:t>
      </w:r>
      <w:r w:rsidRPr="003D6B3C">
        <w:rPr>
          <w:rFonts w:ascii="Cambria" w:hAnsi="Cambria"/>
          <w:lang w:val="en-GB"/>
        </w:rPr>
        <w:t>: “LEI code”, “MFI code” or “Type of identifier, other than LEI or MFI code”.</w:t>
      </w:r>
    </w:p>
    <w:p w14:paraId="60E9D48F" w14:textId="2D02A71D" w:rsidR="004976D4" w:rsidRDefault="004976D4" w:rsidP="009474F1">
      <w:pPr>
        <w:pStyle w:val="Heading4"/>
        <w:rPr>
          <w:rFonts w:ascii="Cambria" w:hAnsi="Cambria"/>
          <w:lang w:val="en-GB"/>
        </w:rPr>
      </w:pPr>
      <w:r>
        <w:rPr>
          <w:rFonts w:ascii="Cambria" w:hAnsi="Cambria"/>
          <w:lang w:val="en-GB"/>
        </w:rPr>
        <w:t>c0055 – Relationship with Lending Entity</w:t>
      </w:r>
    </w:p>
    <w:p w14:paraId="519736A0" w14:textId="50CB7E14" w:rsidR="004976D4" w:rsidRDefault="003D6B3C" w:rsidP="009474F1">
      <w:pPr>
        <w:pStyle w:val="Heading4"/>
        <w:rPr>
          <w:rFonts w:ascii="Cambria" w:hAnsi="Cambria"/>
          <w:lang w:val="en-GB"/>
        </w:rPr>
      </w:pPr>
      <w:r>
        <w:rPr>
          <w:rFonts w:ascii="Cambria" w:eastAsiaTheme="minorHAnsi" w:hAnsi="Cambria" w:cstheme="minorBidi"/>
          <w:i w:val="0"/>
          <w:iCs w:val="0"/>
          <w:color w:val="auto"/>
          <w:szCs w:val="20"/>
          <w:lang w:val="en-GB" w:eastAsia="en-GB"/>
        </w:rPr>
        <w:t>This field indicates the relationship of the lending entity to the reporting entity. A list of values is foreseen for this field: the lending entity can either be a “Parent” (direct or indirect), a “Subsidiary” of the reporting entity (direct or indirect) or alternatively a “Sister”.</w:t>
      </w:r>
    </w:p>
    <w:p w14:paraId="72822EED" w14:textId="28AB8AAF" w:rsidR="00A21F57" w:rsidRDefault="00A21F57" w:rsidP="009474F1">
      <w:pPr>
        <w:pStyle w:val="Heading4"/>
        <w:rPr>
          <w:rFonts w:ascii="Cambria" w:hAnsi="Cambria"/>
          <w:lang w:val="en-GB"/>
        </w:rPr>
      </w:pPr>
      <w:r>
        <w:rPr>
          <w:rFonts w:ascii="Cambria" w:hAnsi="Cambria"/>
          <w:lang w:val="en-GB"/>
        </w:rPr>
        <w:t xml:space="preserve">c0057 - </w:t>
      </w:r>
      <w:r w:rsidRPr="00A21F57">
        <w:rPr>
          <w:rFonts w:ascii="Cambria" w:hAnsi="Cambria"/>
          <w:lang w:val="en-GB"/>
        </w:rPr>
        <w:t xml:space="preserve">Is </w:t>
      </w:r>
      <w:r w:rsidR="005C7220">
        <w:rPr>
          <w:rFonts w:ascii="Cambria" w:hAnsi="Cambria"/>
          <w:lang w:val="en-GB"/>
        </w:rPr>
        <w:t xml:space="preserve">the </w:t>
      </w:r>
      <w:r w:rsidRPr="00A21F57">
        <w:rPr>
          <w:rFonts w:ascii="Cambria" w:hAnsi="Cambria"/>
          <w:lang w:val="en-GB"/>
        </w:rPr>
        <w:t xml:space="preserve">Lending </w:t>
      </w:r>
      <w:r w:rsidR="005C7220">
        <w:rPr>
          <w:rFonts w:ascii="Cambria" w:hAnsi="Cambria"/>
          <w:lang w:val="en-GB"/>
        </w:rPr>
        <w:t>E</w:t>
      </w:r>
      <w:r w:rsidRPr="00A21F57">
        <w:rPr>
          <w:rFonts w:ascii="Cambria" w:hAnsi="Cambria"/>
          <w:lang w:val="en-GB"/>
        </w:rPr>
        <w:t>ntity included in the Resolution Group of Reporting Entity?</w:t>
      </w:r>
    </w:p>
    <w:p w14:paraId="14A20036" w14:textId="118AB8EE" w:rsidR="00680AA5" w:rsidRPr="00680AA5" w:rsidRDefault="00680AA5" w:rsidP="00680AA5">
      <w:pPr>
        <w:rPr>
          <w:rFonts w:ascii="Cambria" w:hAnsi="Cambria"/>
          <w:lang w:val="en-GB"/>
        </w:rPr>
      </w:pPr>
      <w:r>
        <w:rPr>
          <w:rFonts w:ascii="Cambria" w:hAnsi="Cambria"/>
          <w:lang w:val="en-GB"/>
        </w:rPr>
        <w:t>To be chosen among the following options</w:t>
      </w:r>
      <w:r w:rsidRPr="003D6B3C">
        <w:rPr>
          <w:rFonts w:ascii="Cambria" w:hAnsi="Cambria"/>
          <w:lang w:val="en-GB"/>
        </w:rPr>
        <w:t>: “</w:t>
      </w:r>
      <w:r w:rsidR="00CC5963">
        <w:rPr>
          <w:rFonts w:ascii="Cambria" w:hAnsi="Cambria"/>
          <w:lang w:val="en-GB"/>
        </w:rPr>
        <w:t>t</w:t>
      </w:r>
      <w:r w:rsidR="00731B2D">
        <w:rPr>
          <w:rFonts w:ascii="Cambria" w:hAnsi="Cambria"/>
          <w:lang w:val="en-GB"/>
        </w:rPr>
        <w:t>rue</w:t>
      </w:r>
      <w:r>
        <w:rPr>
          <w:rFonts w:ascii="Cambria" w:hAnsi="Cambria"/>
          <w:lang w:val="en-GB"/>
        </w:rPr>
        <w:t>”, or “</w:t>
      </w:r>
      <w:r w:rsidR="00CC5963">
        <w:rPr>
          <w:rFonts w:ascii="Cambria" w:hAnsi="Cambria"/>
          <w:lang w:val="en-GB"/>
        </w:rPr>
        <w:t>f</w:t>
      </w:r>
      <w:r w:rsidR="00731B2D">
        <w:rPr>
          <w:rFonts w:ascii="Cambria" w:hAnsi="Cambria"/>
          <w:lang w:val="en-GB"/>
        </w:rPr>
        <w:t>alse</w:t>
      </w:r>
      <w:r>
        <w:rPr>
          <w:rFonts w:ascii="Cambria" w:hAnsi="Cambria"/>
          <w:lang w:val="en-GB"/>
        </w:rPr>
        <w:t>”.</w:t>
      </w:r>
    </w:p>
    <w:p w14:paraId="48B2A4E9" w14:textId="6ECF0513" w:rsidR="00E20340" w:rsidRPr="00C243CD" w:rsidRDefault="00DA3A5D" w:rsidP="009474F1">
      <w:pPr>
        <w:pStyle w:val="Heading4"/>
        <w:rPr>
          <w:rFonts w:ascii="Cambria" w:hAnsi="Cambria"/>
          <w:lang w:val="en-GB"/>
        </w:rPr>
      </w:pPr>
      <w:r w:rsidRPr="00C243CD">
        <w:rPr>
          <w:rFonts w:ascii="Cambria" w:hAnsi="Cambria"/>
          <w:lang w:val="en-GB"/>
        </w:rPr>
        <w:t>c00</w:t>
      </w:r>
      <w:r w:rsidR="007D2893" w:rsidRPr="00C243CD">
        <w:rPr>
          <w:rFonts w:ascii="Cambria" w:hAnsi="Cambria"/>
          <w:lang w:val="en-GB"/>
        </w:rPr>
        <w:t>6</w:t>
      </w:r>
      <w:r w:rsidR="00E20340" w:rsidRPr="00C243CD">
        <w:rPr>
          <w:rFonts w:ascii="Cambria" w:hAnsi="Cambria"/>
          <w:lang w:val="en-GB"/>
        </w:rPr>
        <w:t>0 - Governing Law</w:t>
      </w:r>
    </w:p>
    <w:p w14:paraId="086D4DFF" w14:textId="39D6A673" w:rsidR="00E20340" w:rsidRPr="00C243CD" w:rsidRDefault="00E20340" w:rsidP="009474F1">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t>
      </w:r>
      <w:r w:rsidR="00F64A95" w:rsidRPr="00C243CD">
        <w:rPr>
          <w:rFonts w:ascii="Cambria" w:hAnsi="Cambria"/>
          <w:lang w:val="en-GB"/>
        </w:rPr>
        <w:t>whose</w:t>
      </w:r>
      <w:r w:rsidRPr="00C243CD">
        <w:rPr>
          <w:rFonts w:ascii="Cambria" w:hAnsi="Cambria"/>
          <w:lang w:val="en-GB"/>
        </w:rPr>
        <w:t xml:space="preserve"> law governs the instrument.</w:t>
      </w:r>
    </w:p>
    <w:p w14:paraId="6455F0D3" w14:textId="25105B0F" w:rsidR="00E20340" w:rsidRPr="00C243CD" w:rsidRDefault="00DA3A5D" w:rsidP="009474F1">
      <w:pPr>
        <w:pStyle w:val="Heading4"/>
        <w:rPr>
          <w:rFonts w:ascii="Cambria" w:hAnsi="Cambria"/>
          <w:lang w:val="en-GB"/>
        </w:rPr>
      </w:pPr>
      <w:r w:rsidRPr="00C243CD">
        <w:rPr>
          <w:rFonts w:ascii="Cambria" w:hAnsi="Cambria"/>
          <w:lang w:val="en-GB"/>
        </w:rPr>
        <w:lastRenderedPageBreak/>
        <w:t>c00</w:t>
      </w:r>
      <w:r w:rsidR="007D2893" w:rsidRPr="00C243CD">
        <w:rPr>
          <w:rFonts w:ascii="Cambria" w:hAnsi="Cambria"/>
          <w:lang w:val="en-GB"/>
        </w:rPr>
        <w:t>7</w:t>
      </w:r>
      <w:r w:rsidR="00E20340" w:rsidRPr="00C243CD">
        <w:rPr>
          <w:rFonts w:ascii="Cambria" w:hAnsi="Cambria"/>
          <w:lang w:val="en-GB"/>
        </w:rPr>
        <w:t>0 - If Third Country</w:t>
      </w:r>
      <w:r w:rsidR="00C03BD4" w:rsidRPr="00C243CD">
        <w:rPr>
          <w:rFonts w:ascii="Cambria" w:hAnsi="Cambria"/>
          <w:lang w:val="en-GB"/>
        </w:rPr>
        <w:t xml:space="preserve"> Law</w:t>
      </w:r>
      <w:r w:rsidR="009E7FAA" w:rsidRPr="00C243CD">
        <w:rPr>
          <w:rFonts w:ascii="Cambria" w:hAnsi="Cambria"/>
          <w:lang w:val="en-GB"/>
        </w:rPr>
        <w:t xml:space="preserve"> or UK law</w:t>
      </w:r>
      <w:r w:rsidR="009E7FAA" w:rsidRPr="00C243CD">
        <w:rPr>
          <w:rStyle w:val="FootnoteReference"/>
          <w:rFonts w:ascii="Cambria" w:hAnsi="Cambria"/>
          <w:lang w:val="en-GB"/>
        </w:rPr>
        <w:footnoteReference w:id="11"/>
      </w:r>
      <w:r w:rsidR="00E20340" w:rsidRPr="00C243CD">
        <w:rPr>
          <w:rFonts w:ascii="Cambria" w:hAnsi="Cambria"/>
          <w:lang w:val="en-GB"/>
        </w:rPr>
        <w:t>, Contractual Recognition</w:t>
      </w:r>
    </w:p>
    <w:p w14:paraId="5004A98A" w14:textId="221FBCD1" w:rsidR="00E20340" w:rsidRPr="00C243CD" w:rsidRDefault="00E20340" w:rsidP="009474F1">
      <w:pPr>
        <w:rPr>
          <w:rFonts w:ascii="Cambria" w:hAnsi="Cambria"/>
          <w:lang w:val="en-GB"/>
        </w:rPr>
      </w:pPr>
      <w:r w:rsidRPr="00C243CD">
        <w:rPr>
          <w:rFonts w:ascii="Cambria" w:hAnsi="Cambria"/>
          <w:lang w:val="en-GB"/>
        </w:rPr>
        <w:t>Identification of contractual provisions for the recognition of bail-in powers</w:t>
      </w:r>
      <w:r w:rsidR="00A32783" w:rsidRPr="00C243CD">
        <w:rPr>
          <w:rFonts w:ascii="Cambria" w:hAnsi="Cambria"/>
          <w:lang w:val="en-GB"/>
        </w:rPr>
        <w:t xml:space="preserve"> in line with article 55 of the BRRD</w:t>
      </w:r>
      <w:r w:rsidR="00C51450" w:rsidRPr="00C243CD">
        <w:rPr>
          <w:rFonts w:ascii="Cambria" w:hAnsi="Cambria"/>
          <w:lang w:val="en-GB"/>
        </w:rPr>
        <w:t>, either ‘Yes</w:t>
      </w:r>
      <w:r w:rsidR="00563F37" w:rsidRPr="00563F37">
        <w:rPr>
          <w:rFonts w:ascii="Cambria" w:hAnsi="Cambria"/>
          <w:lang w:val="en-GB"/>
        </w:rPr>
        <w:t xml:space="preserve"> (Contractual recognition of bail-in powers)</w:t>
      </w:r>
      <w:r w:rsidR="00C51450" w:rsidRPr="00C243CD">
        <w:rPr>
          <w:rFonts w:ascii="Cambria" w:hAnsi="Cambria"/>
          <w:lang w:val="en-GB"/>
        </w:rPr>
        <w:t>’, ‘No</w:t>
      </w:r>
      <w:r w:rsidR="00563F37" w:rsidRPr="00563F37">
        <w:rPr>
          <w:rFonts w:ascii="Cambria" w:hAnsi="Cambria"/>
          <w:lang w:val="en-GB"/>
        </w:rPr>
        <w:t xml:space="preserve"> (Contractual recognition of bail-in powers)</w:t>
      </w:r>
      <w:r w:rsidR="00C51450" w:rsidRPr="00C243CD">
        <w:rPr>
          <w:rFonts w:ascii="Cambria" w:hAnsi="Cambria"/>
          <w:lang w:val="en-GB"/>
        </w:rPr>
        <w:t>’ or ‘</w:t>
      </w:r>
      <w:r w:rsidR="00D9361E" w:rsidRPr="00C243CD">
        <w:rPr>
          <w:rFonts w:ascii="Cambria" w:hAnsi="Cambria"/>
          <w:lang w:val="en-GB"/>
        </w:rPr>
        <w:t xml:space="preserve">Not </w:t>
      </w:r>
      <w:r w:rsidR="0018198C" w:rsidRPr="00C243CD">
        <w:rPr>
          <w:rFonts w:ascii="Cambria" w:hAnsi="Cambria"/>
          <w:lang w:val="en-GB"/>
        </w:rPr>
        <w:t>A</w:t>
      </w:r>
      <w:r w:rsidR="00D9361E" w:rsidRPr="00C243CD">
        <w:rPr>
          <w:rFonts w:ascii="Cambria" w:hAnsi="Cambria"/>
          <w:lang w:val="en-GB"/>
        </w:rPr>
        <w:t>pplicable</w:t>
      </w:r>
      <w:r w:rsidR="00563F37" w:rsidRPr="00563F37">
        <w:rPr>
          <w:rFonts w:ascii="Cambria" w:hAnsi="Cambria"/>
          <w:lang w:val="en-GB"/>
        </w:rPr>
        <w:t xml:space="preserve"> (Contractual recognition of bail-in powers)</w:t>
      </w:r>
      <w:r w:rsidR="00C51450" w:rsidRPr="00C243CD">
        <w:rPr>
          <w:rFonts w:ascii="Cambria" w:hAnsi="Cambria"/>
          <w:lang w:val="en-GB"/>
        </w:rPr>
        <w:t>’</w:t>
      </w:r>
      <w:r w:rsidR="00FC47FC" w:rsidRPr="00C243CD">
        <w:rPr>
          <w:rFonts w:ascii="Cambria" w:hAnsi="Cambria"/>
          <w:lang w:val="en-GB"/>
        </w:rPr>
        <w:t xml:space="preserve"> from a predefined list</w:t>
      </w:r>
      <w:r w:rsidRPr="00C243CD">
        <w:rPr>
          <w:rFonts w:ascii="Cambria" w:hAnsi="Cambria"/>
          <w:lang w:val="en-GB"/>
        </w:rPr>
        <w:t>.</w:t>
      </w:r>
    </w:p>
    <w:p w14:paraId="5DE8F9A2" w14:textId="1702973A" w:rsidR="00E20340" w:rsidRPr="00C243CD" w:rsidRDefault="00DA3A5D" w:rsidP="009474F1">
      <w:pPr>
        <w:pStyle w:val="Heading4"/>
        <w:rPr>
          <w:rFonts w:ascii="Cambria" w:hAnsi="Cambria"/>
          <w:lang w:val="en-GB"/>
        </w:rPr>
      </w:pPr>
      <w:r w:rsidRPr="00C243CD">
        <w:rPr>
          <w:rFonts w:ascii="Cambria" w:hAnsi="Cambria"/>
          <w:lang w:val="en-GB"/>
        </w:rPr>
        <w:t>c00</w:t>
      </w:r>
      <w:r w:rsidR="007D2893" w:rsidRPr="00C243CD">
        <w:rPr>
          <w:rFonts w:ascii="Cambria" w:hAnsi="Cambria"/>
          <w:lang w:val="en-GB"/>
        </w:rPr>
        <w:t>8</w:t>
      </w:r>
      <w:r w:rsidR="00E20340" w:rsidRPr="00C243CD">
        <w:rPr>
          <w:rFonts w:ascii="Cambria" w:hAnsi="Cambria"/>
          <w:lang w:val="en-GB"/>
        </w:rPr>
        <w:t>0 - Outstanding Principal Amount</w:t>
      </w:r>
    </w:p>
    <w:p w14:paraId="4DBDA846" w14:textId="77777777" w:rsidR="00E20340" w:rsidRPr="00C243CD" w:rsidRDefault="00E20340" w:rsidP="009474F1">
      <w:pPr>
        <w:rPr>
          <w:rFonts w:ascii="Cambria" w:hAnsi="Cambria"/>
          <w:lang w:val="en-GB"/>
        </w:rPr>
      </w:pPr>
      <w:r w:rsidRPr="00C243CD">
        <w:rPr>
          <w:rFonts w:ascii="Cambria" w:hAnsi="Cambria"/>
          <w:lang w:val="en-GB"/>
        </w:rPr>
        <w:t>The EUR (counter) value of the outstanding principal amount of the instrument.</w:t>
      </w:r>
    </w:p>
    <w:p w14:paraId="7FED58E5" w14:textId="481736C7" w:rsidR="00E20340" w:rsidRPr="00C243CD" w:rsidRDefault="00DA3A5D" w:rsidP="009474F1">
      <w:pPr>
        <w:pStyle w:val="Heading4"/>
        <w:rPr>
          <w:rFonts w:ascii="Cambria" w:hAnsi="Cambria"/>
          <w:lang w:val="en-GB"/>
        </w:rPr>
      </w:pPr>
      <w:r w:rsidRPr="00C243CD">
        <w:rPr>
          <w:rFonts w:ascii="Cambria" w:hAnsi="Cambria"/>
          <w:lang w:val="en-GB"/>
        </w:rPr>
        <w:t>c00</w:t>
      </w:r>
      <w:r w:rsidR="007D2893" w:rsidRPr="00C243CD">
        <w:rPr>
          <w:rFonts w:ascii="Cambria" w:hAnsi="Cambria"/>
          <w:lang w:val="en-GB"/>
        </w:rPr>
        <w:t>9</w:t>
      </w:r>
      <w:r w:rsidR="00E20340" w:rsidRPr="00C243CD">
        <w:rPr>
          <w:rFonts w:ascii="Cambria" w:hAnsi="Cambria"/>
          <w:lang w:val="en-GB"/>
        </w:rPr>
        <w:t>0 - Accrued Interest</w:t>
      </w:r>
    </w:p>
    <w:p w14:paraId="4F7856BB" w14:textId="77777777" w:rsidR="00E20340" w:rsidRPr="00C243CD" w:rsidRDefault="00E20340" w:rsidP="009474F1">
      <w:pPr>
        <w:rPr>
          <w:rFonts w:ascii="Cambria" w:hAnsi="Cambria"/>
          <w:lang w:val="en-GB"/>
        </w:rPr>
      </w:pPr>
      <w:r w:rsidRPr="00C243CD">
        <w:rPr>
          <w:rFonts w:ascii="Cambria" w:hAnsi="Cambria"/>
          <w:lang w:val="en-GB"/>
        </w:rPr>
        <w:t>The EUR (counter) value of the outstanding accrued interest on the instrument.</w:t>
      </w:r>
    </w:p>
    <w:p w14:paraId="56A4226B" w14:textId="59704025" w:rsidR="00E20340" w:rsidRPr="00C243CD" w:rsidRDefault="00DA3A5D" w:rsidP="009474F1">
      <w:pPr>
        <w:pStyle w:val="Heading4"/>
        <w:rPr>
          <w:rFonts w:ascii="Cambria" w:hAnsi="Cambria"/>
          <w:lang w:val="en-GB"/>
        </w:rPr>
      </w:pPr>
      <w:r w:rsidRPr="00C243CD">
        <w:rPr>
          <w:rFonts w:ascii="Cambria" w:hAnsi="Cambria"/>
          <w:lang w:val="en-GB"/>
        </w:rPr>
        <w:t>c01</w:t>
      </w:r>
      <w:r w:rsidR="007D2893" w:rsidRPr="00C243CD">
        <w:rPr>
          <w:rFonts w:ascii="Cambria" w:hAnsi="Cambria"/>
          <w:lang w:val="en-GB"/>
        </w:rPr>
        <w:t>0</w:t>
      </w:r>
      <w:r w:rsidR="00E20340" w:rsidRPr="00C243CD">
        <w:rPr>
          <w:rFonts w:ascii="Cambria" w:hAnsi="Cambria"/>
          <w:lang w:val="en-GB"/>
        </w:rPr>
        <w:t xml:space="preserve">0 </w:t>
      </w:r>
      <w:r w:rsidR="00696BC4">
        <w:rPr>
          <w:rFonts w:ascii="Cambria" w:hAnsi="Cambria"/>
          <w:lang w:val="en-GB"/>
        </w:rPr>
        <w:t>–</w:t>
      </w:r>
      <w:r w:rsidR="00E20340" w:rsidRPr="00C243CD">
        <w:rPr>
          <w:rFonts w:ascii="Cambria" w:hAnsi="Cambria"/>
          <w:lang w:val="en-GB"/>
        </w:rPr>
        <w:t xml:space="preserve"> Currency</w:t>
      </w:r>
    </w:p>
    <w:p w14:paraId="71C93E95" w14:textId="24C8DEAC" w:rsidR="00E20340" w:rsidRPr="00C243CD" w:rsidRDefault="00E20340" w:rsidP="009474F1">
      <w:pPr>
        <w:rPr>
          <w:rFonts w:ascii="Cambria" w:hAnsi="Cambria"/>
          <w:lang w:val="en-GB"/>
        </w:rPr>
      </w:pPr>
      <w:r w:rsidRPr="00C243CD">
        <w:rPr>
          <w:rFonts w:ascii="Cambria" w:hAnsi="Cambria"/>
          <w:lang w:val="en-GB"/>
        </w:rPr>
        <w:t>The currency in which the instrument is issued.</w:t>
      </w:r>
    </w:p>
    <w:p w14:paraId="5072C08E" w14:textId="0053144C" w:rsidR="00E20340" w:rsidRPr="00C243CD" w:rsidRDefault="00DA3A5D" w:rsidP="009474F1">
      <w:pPr>
        <w:pStyle w:val="Heading4"/>
        <w:rPr>
          <w:rFonts w:ascii="Cambria" w:hAnsi="Cambria"/>
          <w:lang w:val="en-GB"/>
        </w:rPr>
      </w:pPr>
      <w:r w:rsidRPr="00C243CD">
        <w:rPr>
          <w:rFonts w:ascii="Cambria" w:hAnsi="Cambria"/>
          <w:lang w:val="en-GB"/>
        </w:rPr>
        <w:t>c01</w:t>
      </w:r>
      <w:r w:rsidR="007D2893" w:rsidRPr="00C243CD">
        <w:rPr>
          <w:rFonts w:ascii="Cambria" w:hAnsi="Cambria"/>
          <w:lang w:val="en-GB"/>
        </w:rPr>
        <w:t>1</w:t>
      </w:r>
      <w:r w:rsidR="00E20340" w:rsidRPr="00C243CD">
        <w:rPr>
          <w:rFonts w:ascii="Cambria" w:hAnsi="Cambria"/>
          <w:lang w:val="en-GB"/>
        </w:rPr>
        <w:t>0 - Issuance Date</w:t>
      </w:r>
    </w:p>
    <w:p w14:paraId="5D51ED1D" w14:textId="77777777" w:rsidR="00DF1070" w:rsidRPr="00C243CD" w:rsidRDefault="00E20340" w:rsidP="009474F1">
      <w:pPr>
        <w:rPr>
          <w:rFonts w:ascii="Cambria" w:hAnsi="Cambria"/>
          <w:lang w:val="en-GB"/>
        </w:rPr>
      </w:pPr>
      <w:r w:rsidRPr="00C243CD">
        <w:rPr>
          <w:rFonts w:ascii="Cambria" w:hAnsi="Cambria"/>
          <w:lang w:val="en-GB"/>
        </w:rPr>
        <w:t xml:space="preserve">Date of the original issuance of the </w:t>
      </w:r>
      <w:r w:rsidR="00935A83" w:rsidRPr="00C243CD">
        <w:rPr>
          <w:rFonts w:ascii="Cambria" w:hAnsi="Cambria"/>
          <w:lang w:val="en-GB"/>
        </w:rPr>
        <w:t>liability</w:t>
      </w:r>
      <w:r w:rsidRPr="00C243CD">
        <w:rPr>
          <w:rFonts w:ascii="Cambria" w:hAnsi="Cambria"/>
          <w:lang w:val="en-GB"/>
        </w:rPr>
        <w:t>.</w:t>
      </w:r>
    </w:p>
    <w:p w14:paraId="2B025019" w14:textId="77777777" w:rsidR="00E20340" w:rsidRPr="00C243CD" w:rsidRDefault="009A6194" w:rsidP="009474F1">
      <w:pPr>
        <w:rPr>
          <w:rFonts w:ascii="Cambria" w:hAnsi="Cambria"/>
          <w:lang w:val="en-GB"/>
        </w:rPr>
      </w:pPr>
      <w:r w:rsidRPr="00C243CD">
        <w:rPr>
          <w:rFonts w:ascii="Cambria" w:hAnsi="Cambria"/>
          <w:lang w:val="en-GB"/>
        </w:rPr>
        <w:t>For securities financing transactions subject to a netting arrangement</w:t>
      </w:r>
      <w:r w:rsidR="00DF1070" w:rsidRPr="00C243CD">
        <w:rPr>
          <w:rFonts w:ascii="Cambria" w:hAnsi="Cambria"/>
          <w:lang w:val="en-GB"/>
        </w:rPr>
        <w:t xml:space="preserve"> and reported as </w:t>
      </w:r>
      <w:r w:rsidR="002671C0" w:rsidRPr="00C243CD">
        <w:rPr>
          <w:rFonts w:ascii="Cambria" w:hAnsi="Cambria"/>
          <w:lang w:val="en-GB"/>
        </w:rPr>
        <w:t>a netting set</w:t>
      </w:r>
      <w:r w:rsidRPr="00C243CD">
        <w:rPr>
          <w:rFonts w:ascii="Cambria" w:hAnsi="Cambria"/>
          <w:lang w:val="en-GB"/>
        </w:rPr>
        <w:t xml:space="preserve">, the </w:t>
      </w:r>
      <w:r w:rsidR="002671C0" w:rsidRPr="00C243CD">
        <w:rPr>
          <w:rFonts w:ascii="Cambria" w:hAnsi="Cambria"/>
          <w:lang w:val="en-GB"/>
        </w:rPr>
        <w:t xml:space="preserve">reporting </w:t>
      </w:r>
      <w:r w:rsidRPr="00C243CD">
        <w:rPr>
          <w:rFonts w:ascii="Cambria" w:hAnsi="Cambria"/>
          <w:lang w:val="en-GB"/>
        </w:rPr>
        <w:t xml:space="preserve">date </w:t>
      </w:r>
      <w:r w:rsidR="002671C0" w:rsidRPr="00C243CD">
        <w:rPr>
          <w:rFonts w:ascii="Cambria" w:hAnsi="Cambria"/>
          <w:lang w:val="en-GB"/>
        </w:rPr>
        <w:t>can be used as the issuance date</w:t>
      </w:r>
      <w:r w:rsidRPr="00C243CD">
        <w:rPr>
          <w:rFonts w:ascii="Cambria" w:hAnsi="Cambria"/>
          <w:lang w:val="en-GB"/>
        </w:rPr>
        <w:t>.</w:t>
      </w:r>
    </w:p>
    <w:p w14:paraId="12C78B67" w14:textId="0AD71A0C" w:rsidR="00E20340" w:rsidRPr="00C243CD" w:rsidRDefault="00DA3A5D" w:rsidP="009474F1">
      <w:pPr>
        <w:pStyle w:val="Heading4"/>
        <w:rPr>
          <w:rFonts w:ascii="Cambria" w:hAnsi="Cambria"/>
          <w:lang w:val="en-GB"/>
        </w:rPr>
      </w:pPr>
      <w:r w:rsidRPr="00C243CD">
        <w:rPr>
          <w:rFonts w:ascii="Cambria" w:hAnsi="Cambria"/>
          <w:lang w:val="en-GB"/>
        </w:rPr>
        <w:t>c01</w:t>
      </w:r>
      <w:r w:rsidR="007D2893" w:rsidRPr="00C243CD">
        <w:rPr>
          <w:rFonts w:ascii="Cambria" w:hAnsi="Cambria"/>
          <w:lang w:val="en-GB"/>
        </w:rPr>
        <w:t>2</w:t>
      </w:r>
      <w:r w:rsidR="00E20340" w:rsidRPr="00C243CD">
        <w:rPr>
          <w:rFonts w:ascii="Cambria" w:hAnsi="Cambria"/>
          <w:lang w:val="en-GB"/>
        </w:rPr>
        <w:t>0 - Earliest Redemption Date</w:t>
      </w:r>
    </w:p>
    <w:p w14:paraId="0C3BAA5D" w14:textId="77777777" w:rsidR="00DF1070" w:rsidRPr="00C243CD" w:rsidRDefault="00E20340" w:rsidP="009474F1">
      <w:pPr>
        <w:rPr>
          <w:rFonts w:ascii="Cambria" w:hAnsi="Cambria"/>
          <w:lang w:val="en-GB"/>
        </w:rPr>
      </w:pPr>
      <w:r w:rsidRPr="00C243CD">
        <w:rPr>
          <w:rFonts w:ascii="Cambria" w:hAnsi="Cambria"/>
          <w:lang w:val="en-GB"/>
        </w:rPr>
        <w:t>If an option exists for the holders of the instrument to request early reimbursement, or conditions for early reimbursement are contractually foreseen, the earliest occurrence date should be completed.</w:t>
      </w:r>
      <w:r w:rsidR="00282945" w:rsidRPr="00C243CD">
        <w:rPr>
          <w:rFonts w:ascii="Cambria" w:hAnsi="Cambria"/>
          <w:lang w:val="en-GB"/>
        </w:rPr>
        <w:t xml:space="preserve"> If the early reimbursement relates to only a portion of the liability (e.g. early reimbursement of 50% of the nominal amount), the liability should be split to take into account this partial early redemption clause.</w:t>
      </w:r>
    </w:p>
    <w:p w14:paraId="6803713F" w14:textId="77777777" w:rsidR="00E20340" w:rsidRPr="00C243CD" w:rsidRDefault="00DF1070" w:rsidP="009474F1">
      <w:pPr>
        <w:rPr>
          <w:rFonts w:ascii="Cambria" w:hAnsi="Cambria"/>
          <w:lang w:val="en-GB"/>
        </w:rPr>
      </w:pPr>
      <w:r w:rsidRPr="00C243CD">
        <w:rPr>
          <w:rFonts w:ascii="Cambria" w:hAnsi="Cambria"/>
          <w:lang w:val="en-GB"/>
        </w:rPr>
        <w:t xml:space="preserve">For securities financing transactions subject to a netting arrangement and reported as </w:t>
      </w:r>
      <w:r w:rsidR="002671C0" w:rsidRPr="00C243CD">
        <w:rPr>
          <w:rFonts w:ascii="Cambria" w:hAnsi="Cambria"/>
          <w:lang w:val="en-GB"/>
        </w:rPr>
        <w:t>a netting set</w:t>
      </w:r>
      <w:r w:rsidRPr="00C243CD">
        <w:rPr>
          <w:rFonts w:ascii="Cambria" w:hAnsi="Cambria"/>
          <w:lang w:val="en-GB"/>
        </w:rPr>
        <w:t xml:space="preserve">, the </w:t>
      </w:r>
      <w:r w:rsidR="002671C0" w:rsidRPr="00C243CD">
        <w:rPr>
          <w:rFonts w:ascii="Cambria" w:hAnsi="Cambria"/>
          <w:lang w:val="en-GB"/>
        </w:rPr>
        <w:t xml:space="preserve">day following the reporting </w:t>
      </w:r>
      <w:r w:rsidRPr="00C243CD">
        <w:rPr>
          <w:rFonts w:ascii="Cambria" w:hAnsi="Cambria"/>
          <w:lang w:val="en-GB"/>
        </w:rPr>
        <w:t xml:space="preserve">date should be </w:t>
      </w:r>
      <w:r w:rsidR="002671C0" w:rsidRPr="00C243CD">
        <w:rPr>
          <w:rFonts w:ascii="Cambria" w:hAnsi="Cambria"/>
          <w:lang w:val="en-GB"/>
        </w:rPr>
        <w:t>used</w:t>
      </w:r>
      <w:r w:rsidRPr="00C243CD">
        <w:rPr>
          <w:rFonts w:ascii="Cambria" w:hAnsi="Cambria"/>
          <w:lang w:val="en-GB"/>
        </w:rPr>
        <w:t>.</w:t>
      </w:r>
    </w:p>
    <w:p w14:paraId="671C7851" w14:textId="4CC47F6E" w:rsidR="00E20340" w:rsidRPr="00C243CD" w:rsidRDefault="00DA3A5D" w:rsidP="009474F1">
      <w:pPr>
        <w:pStyle w:val="Heading4"/>
        <w:rPr>
          <w:rFonts w:ascii="Cambria" w:hAnsi="Cambria"/>
          <w:lang w:val="en-GB"/>
        </w:rPr>
      </w:pPr>
      <w:r w:rsidRPr="00C243CD">
        <w:rPr>
          <w:rFonts w:ascii="Cambria" w:hAnsi="Cambria"/>
          <w:lang w:val="en-GB"/>
        </w:rPr>
        <w:t>c01</w:t>
      </w:r>
      <w:r w:rsidR="007D2893" w:rsidRPr="00C243CD">
        <w:rPr>
          <w:rFonts w:ascii="Cambria" w:hAnsi="Cambria"/>
          <w:lang w:val="en-GB"/>
        </w:rPr>
        <w:t>3</w:t>
      </w:r>
      <w:r w:rsidR="00E20340" w:rsidRPr="00C243CD">
        <w:rPr>
          <w:rFonts w:ascii="Cambria" w:hAnsi="Cambria"/>
          <w:lang w:val="en-GB"/>
        </w:rPr>
        <w:t>0 - Legal Maturity</w:t>
      </w:r>
    </w:p>
    <w:p w14:paraId="4A40B3FC" w14:textId="77777777" w:rsidR="00DF1070" w:rsidRPr="00C243CD" w:rsidRDefault="00E20340" w:rsidP="009474F1">
      <w:pPr>
        <w:rPr>
          <w:rFonts w:ascii="Cambria" w:hAnsi="Cambria"/>
          <w:lang w:val="en-GB"/>
        </w:rPr>
      </w:pPr>
      <w:r w:rsidRPr="00C243CD">
        <w:rPr>
          <w:rFonts w:ascii="Cambria" w:hAnsi="Cambria"/>
          <w:lang w:val="en-GB"/>
        </w:rPr>
        <w:t>Date of the legal, final maturity of the instrument.</w:t>
      </w:r>
      <w:r w:rsidR="00A305F3" w:rsidRPr="00C243CD">
        <w:rPr>
          <w:rFonts w:ascii="Cambria" w:hAnsi="Cambria"/>
          <w:lang w:val="en-GB"/>
        </w:rPr>
        <w:t xml:space="preserve"> For perpetual instruments, this should be ‘2099-01-31’.</w:t>
      </w:r>
    </w:p>
    <w:p w14:paraId="2F45AE5A" w14:textId="77777777" w:rsidR="00E20340" w:rsidRPr="00C243CD" w:rsidRDefault="00DF1070" w:rsidP="009474F1">
      <w:pPr>
        <w:rPr>
          <w:rFonts w:ascii="Cambria" w:hAnsi="Cambria"/>
          <w:lang w:val="en-GB"/>
        </w:rPr>
      </w:pPr>
      <w:r w:rsidRPr="00C243CD">
        <w:rPr>
          <w:rFonts w:ascii="Cambria" w:hAnsi="Cambria"/>
          <w:lang w:val="en-GB"/>
        </w:rPr>
        <w:t xml:space="preserve">For securities financing transactions subject to a netting arrangement and reported as </w:t>
      </w:r>
      <w:r w:rsidR="002671C0" w:rsidRPr="00C243CD">
        <w:rPr>
          <w:rFonts w:ascii="Cambria" w:hAnsi="Cambria"/>
          <w:lang w:val="en-GB"/>
        </w:rPr>
        <w:t>a netting set</w:t>
      </w:r>
      <w:r w:rsidRPr="00C243CD">
        <w:rPr>
          <w:rFonts w:ascii="Cambria" w:hAnsi="Cambria"/>
          <w:lang w:val="en-GB"/>
        </w:rPr>
        <w:t xml:space="preserve">, the </w:t>
      </w:r>
      <w:r w:rsidR="002671C0" w:rsidRPr="00C243CD">
        <w:rPr>
          <w:rFonts w:ascii="Cambria" w:hAnsi="Cambria"/>
          <w:lang w:val="en-GB"/>
        </w:rPr>
        <w:t xml:space="preserve">day following the reporting </w:t>
      </w:r>
      <w:r w:rsidRPr="00C243CD">
        <w:rPr>
          <w:rFonts w:ascii="Cambria" w:hAnsi="Cambria"/>
          <w:lang w:val="en-GB"/>
        </w:rPr>
        <w:t xml:space="preserve">date should be </w:t>
      </w:r>
      <w:r w:rsidR="002671C0" w:rsidRPr="00C243CD">
        <w:rPr>
          <w:rFonts w:ascii="Cambria" w:hAnsi="Cambria"/>
          <w:lang w:val="en-GB"/>
        </w:rPr>
        <w:t>used</w:t>
      </w:r>
      <w:r w:rsidRPr="00C243CD">
        <w:rPr>
          <w:rFonts w:ascii="Cambria" w:hAnsi="Cambria"/>
          <w:lang w:val="en-GB"/>
        </w:rPr>
        <w:t>.</w:t>
      </w:r>
    </w:p>
    <w:p w14:paraId="1F3E8A70" w14:textId="4259AE7F" w:rsidR="00E20340" w:rsidRPr="00C243CD" w:rsidRDefault="00DA3A5D" w:rsidP="009474F1">
      <w:pPr>
        <w:pStyle w:val="Heading4"/>
        <w:rPr>
          <w:rFonts w:ascii="Cambria" w:hAnsi="Cambria"/>
          <w:lang w:val="en-GB"/>
        </w:rPr>
      </w:pPr>
      <w:r w:rsidRPr="00C243CD">
        <w:rPr>
          <w:rFonts w:ascii="Cambria" w:hAnsi="Cambria"/>
          <w:lang w:val="en-GB"/>
        </w:rPr>
        <w:t>c01</w:t>
      </w:r>
      <w:r w:rsidR="007D2893" w:rsidRPr="00C243CD">
        <w:rPr>
          <w:rFonts w:ascii="Cambria" w:hAnsi="Cambria"/>
          <w:lang w:val="en-GB"/>
        </w:rPr>
        <w:t>4</w:t>
      </w:r>
      <w:r w:rsidR="00E20340" w:rsidRPr="00C243CD">
        <w:rPr>
          <w:rFonts w:ascii="Cambria" w:hAnsi="Cambria"/>
          <w:lang w:val="en-GB"/>
        </w:rPr>
        <w:t>0 - Secured/Unsecured</w:t>
      </w:r>
    </w:p>
    <w:p w14:paraId="3D51B910" w14:textId="77777777" w:rsidR="00E20340" w:rsidRPr="00C243CD" w:rsidRDefault="00E20340" w:rsidP="009474F1">
      <w:pPr>
        <w:rPr>
          <w:rFonts w:ascii="Cambria" w:hAnsi="Cambria"/>
          <w:lang w:val="en-GB"/>
        </w:rPr>
      </w:pPr>
      <w:commentRangeStart w:id="201"/>
      <w:r w:rsidRPr="00C243CD">
        <w:rPr>
          <w:rFonts w:ascii="Cambria" w:hAnsi="Cambria"/>
          <w:lang w:val="en-GB"/>
        </w:rPr>
        <w:t>Distinguish between instruments that are subject to collateral agreements or not</w:t>
      </w:r>
      <w:r w:rsidR="00C51450" w:rsidRPr="00C243CD">
        <w:rPr>
          <w:rFonts w:ascii="Cambria" w:hAnsi="Cambria"/>
          <w:lang w:val="en-GB"/>
        </w:rPr>
        <w:t>, either ‘Secured’ or ‘Unsecured’ from a predefined list</w:t>
      </w:r>
      <w:r w:rsidRPr="00C243CD">
        <w:rPr>
          <w:rFonts w:ascii="Cambria" w:hAnsi="Cambria"/>
          <w:lang w:val="en-GB"/>
        </w:rPr>
        <w:t>.</w:t>
      </w:r>
      <w:commentRangeEnd w:id="201"/>
      <w:r w:rsidR="004A1962">
        <w:rPr>
          <w:rStyle w:val="CommentReference"/>
          <w:rFonts w:ascii="Cambria" w:eastAsia="MS Mincho" w:hAnsi="Cambria" w:cs="Times New Roman"/>
          <w:lang w:val="en-US"/>
        </w:rPr>
        <w:commentReference w:id="201"/>
      </w:r>
    </w:p>
    <w:p w14:paraId="03357481" w14:textId="28666680" w:rsidR="00381356" w:rsidRPr="00C243CD" w:rsidRDefault="00DA3A5D" w:rsidP="009474F1">
      <w:pPr>
        <w:pStyle w:val="Heading4"/>
        <w:rPr>
          <w:rFonts w:ascii="Cambria" w:hAnsi="Cambria"/>
          <w:lang w:val="en-GB"/>
        </w:rPr>
      </w:pPr>
      <w:r w:rsidRPr="00C243CD">
        <w:rPr>
          <w:rFonts w:ascii="Cambria" w:hAnsi="Cambria"/>
          <w:lang w:val="en-GB"/>
        </w:rPr>
        <w:t>c01</w:t>
      </w:r>
      <w:r w:rsidR="004F470B" w:rsidRPr="00C243CD">
        <w:rPr>
          <w:rFonts w:ascii="Cambria" w:hAnsi="Cambria"/>
          <w:lang w:val="en-GB"/>
        </w:rPr>
        <w:t>50</w:t>
      </w:r>
      <w:r w:rsidR="005E3190" w:rsidRPr="00C243CD">
        <w:rPr>
          <w:rFonts w:ascii="Cambria" w:hAnsi="Cambria"/>
          <w:lang w:val="en-GB"/>
        </w:rPr>
        <w:t xml:space="preserve"> - Amount</w:t>
      </w:r>
      <w:r w:rsidR="00545032" w:rsidRPr="00C243CD">
        <w:rPr>
          <w:rFonts w:ascii="Cambria" w:hAnsi="Cambria"/>
          <w:lang w:val="en-GB"/>
        </w:rPr>
        <w:t xml:space="preserve"> of pledge, lien or collateral</w:t>
      </w:r>
    </w:p>
    <w:p w14:paraId="34C33C99" w14:textId="77777777" w:rsidR="005E3190" w:rsidRPr="00C243CD" w:rsidRDefault="005E3190" w:rsidP="00B27610">
      <w:pPr>
        <w:rPr>
          <w:rFonts w:ascii="Cambria" w:hAnsi="Cambria"/>
          <w:lang w:val="en-GB"/>
        </w:rPr>
      </w:pPr>
      <w:r w:rsidRPr="00C243CD">
        <w:rPr>
          <w:rFonts w:ascii="Cambria" w:hAnsi="Cambria"/>
          <w:lang w:val="en-GB"/>
        </w:rPr>
        <w:t xml:space="preserve">Where a liability is secured by a pledge, lien or collateral, the </w:t>
      </w:r>
      <w:r w:rsidR="00D17D16" w:rsidRPr="00C243CD">
        <w:rPr>
          <w:rFonts w:ascii="Cambria" w:hAnsi="Cambria"/>
          <w:lang w:val="en-GB"/>
        </w:rPr>
        <w:t xml:space="preserve">gross </w:t>
      </w:r>
      <w:r w:rsidRPr="00C243CD">
        <w:rPr>
          <w:rFonts w:ascii="Cambria" w:hAnsi="Cambria"/>
          <w:lang w:val="en-GB"/>
        </w:rPr>
        <w:t>value of the latter shall be provided. Otherwise, for unsecured liabilities this category shall be reported as nil.</w:t>
      </w:r>
      <w:r w:rsidR="00D9361E" w:rsidRPr="00C243CD">
        <w:rPr>
          <w:rFonts w:ascii="Cambria" w:hAnsi="Cambria"/>
          <w:lang w:val="en-GB"/>
        </w:rPr>
        <w:t xml:space="preserve"> This amount will determine the collateralized and eventually the uncollateralized part of any secured liability. For collateral pools securing multiple line items, the overall coverage ratio should be determined and applied </w:t>
      </w:r>
      <w:r w:rsidR="00D9361E" w:rsidRPr="00C243CD">
        <w:rPr>
          <w:rFonts w:ascii="Cambria" w:hAnsi="Cambria"/>
          <w:i/>
          <w:lang w:val="en-GB"/>
        </w:rPr>
        <w:t>pro rata</w:t>
      </w:r>
      <w:r w:rsidR="00D9361E" w:rsidRPr="00C243CD">
        <w:rPr>
          <w:rFonts w:ascii="Cambria" w:hAnsi="Cambria"/>
          <w:lang w:val="en-GB"/>
        </w:rPr>
        <w:t xml:space="preserve"> to all line items covered by this pool.</w:t>
      </w:r>
    </w:p>
    <w:p w14:paraId="40F89B37" w14:textId="1FD2399C" w:rsidR="00E20340" w:rsidRPr="00C243CD" w:rsidRDefault="00DA3A5D" w:rsidP="009474F1">
      <w:pPr>
        <w:pStyle w:val="Heading4"/>
        <w:rPr>
          <w:rFonts w:ascii="Cambria" w:hAnsi="Cambria"/>
          <w:lang w:val="en-GB"/>
        </w:rPr>
      </w:pPr>
      <w:r w:rsidRPr="00C243CD">
        <w:rPr>
          <w:rFonts w:ascii="Cambria" w:hAnsi="Cambria"/>
          <w:lang w:val="en-GB"/>
        </w:rPr>
        <w:t>c01</w:t>
      </w:r>
      <w:r w:rsidR="004F470B" w:rsidRPr="00C243CD">
        <w:rPr>
          <w:rFonts w:ascii="Cambria" w:hAnsi="Cambria"/>
          <w:lang w:val="en-GB"/>
        </w:rPr>
        <w:t>6</w:t>
      </w:r>
      <w:r w:rsidR="00E20340" w:rsidRPr="00C243CD">
        <w:rPr>
          <w:rFonts w:ascii="Cambria" w:hAnsi="Cambria"/>
          <w:lang w:val="en-GB"/>
        </w:rPr>
        <w:t>0 - Guarantor if applicable</w:t>
      </w:r>
    </w:p>
    <w:p w14:paraId="1C677176" w14:textId="77777777" w:rsidR="00E20340" w:rsidRPr="00C243CD" w:rsidRDefault="00E20340" w:rsidP="009474F1">
      <w:pPr>
        <w:rPr>
          <w:rFonts w:ascii="Cambria" w:hAnsi="Cambria"/>
          <w:lang w:val="en-GB"/>
        </w:rPr>
      </w:pPr>
      <w:r w:rsidRPr="00C243CD">
        <w:rPr>
          <w:rFonts w:ascii="Cambria" w:hAnsi="Cambria"/>
          <w:lang w:val="en-GB"/>
        </w:rPr>
        <w:t xml:space="preserve">If there are guarantees provided for the instrument, please provide a detailed identification of the guarantor (LEI code, </w:t>
      </w:r>
      <w:r w:rsidR="007D2893" w:rsidRPr="00C243CD">
        <w:rPr>
          <w:rFonts w:ascii="Cambria" w:hAnsi="Cambria"/>
          <w:lang w:val="en-GB"/>
        </w:rPr>
        <w:t xml:space="preserve">ISO 3166-1 alpha-2 </w:t>
      </w:r>
      <w:r w:rsidRPr="00C243CD">
        <w:rPr>
          <w:rFonts w:ascii="Cambria" w:hAnsi="Cambria"/>
          <w:lang w:val="en-GB"/>
        </w:rPr>
        <w:t>country code for government, etc.).</w:t>
      </w:r>
      <w:r w:rsidR="00064A6F" w:rsidRPr="00C243CD">
        <w:rPr>
          <w:rFonts w:ascii="Cambria" w:hAnsi="Cambria"/>
          <w:lang w:val="en-GB"/>
        </w:rPr>
        <w:t xml:space="preserve"> Where multiple guarantors are present, the identifiers should all be reported, separated by a backslash.</w:t>
      </w:r>
    </w:p>
    <w:p w14:paraId="47788599" w14:textId="0E23509C" w:rsidR="00E20340" w:rsidRPr="00C243CD" w:rsidRDefault="00DA3A5D" w:rsidP="009474F1">
      <w:pPr>
        <w:pStyle w:val="Heading4"/>
        <w:rPr>
          <w:rFonts w:ascii="Cambria" w:hAnsi="Cambria"/>
          <w:lang w:val="en-GB"/>
        </w:rPr>
      </w:pPr>
      <w:r w:rsidRPr="00C243CD">
        <w:rPr>
          <w:rFonts w:ascii="Cambria" w:hAnsi="Cambria"/>
          <w:lang w:val="en-GB"/>
        </w:rPr>
        <w:lastRenderedPageBreak/>
        <w:t>c01</w:t>
      </w:r>
      <w:r w:rsidR="007D2893" w:rsidRPr="00C243CD">
        <w:rPr>
          <w:rFonts w:ascii="Cambria" w:hAnsi="Cambria"/>
          <w:lang w:val="en-GB"/>
        </w:rPr>
        <w:t>7</w:t>
      </w:r>
      <w:r w:rsidR="00E20340" w:rsidRPr="00C243CD">
        <w:rPr>
          <w:rFonts w:ascii="Cambria" w:hAnsi="Cambria"/>
          <w:lang w:val="en-GB"/>
        </w:rPr>
        <w:t>0 - Structured or other Non-Standard Terms</w:t>
      </w:r>
    </w:p>
    <w:p w14:paraId="75AA0E3A" w14:textId="77777777" w:rsidR="00E20340" w:rsidRPr="00C243CD" w:rsidRDefault="00E20340" w:rsidP="009474F1">
      <w:pPr>
        <w:rPr>
          <w:rFonts w:ascii="Cambria" w:hAnsi="Cambria"/>
          <w:lang w:val="en-GB"/>
        </w:rPr>
      </w:pPr>
      <w:r w:rsidRPr="00C243CD">
        <w:rPr>
          <w:rFonts w:ascii="Cambria" w:hAnsi="Cambria"/>
          <w:lang w:val="en-GB"/>
        </w:rPr>
        <w:t>Please indicate if the instrument is to be considered as structured (cf. above) or contains specific non-standard terms</w:t>
      </w:r>
      <w:r w:rsidR="00935A83" w:rsidRPr="00C243CD">
        <w:rPr>
          <w:rStyle w:val="FootnoteReference"/>
          <w:rFonts w:ascii="Cambria" w:hAnsi="Cambria"/>
          <w:lang w:val="en-GB"/>
        </w:rPr>
        <w:footnoteReference w:id="12"/>
      </w:r>
      <w:r w:rsidR="00C51450" w:rsidRPr="00C243CD">
        <w:rPr>
          <w:rFonts w:ascii="Cambria" w:hAnsi="Cambria"/>
          <w:lang w:val="en-GB"/>
        </w:rPr>
        <w:t>, either ‘Non-structured/Vanilla’, ‘Structured’ or ‘Other non-standard terms’ from a predefined list</w:t>
      </w:r>
      <w:r w:rsidRPr="00C243CD">
        <w:rPr>
          <w:rFonts w:ascii="Cambria" w:hAnsi="Cambria"/>
          <w:lang w:val="en-GB"/>
        </w:rPr>
        <w:t>.</w:t>
      </w:r>
    </w:p>
    <w:p w14:paraId="708EB7F7" w14:textId="44A429CB" w:rsidR="00E616B6" w:rsidRDefault="00E616B6" w:rsidP="009474F1">
      <w:pPr>
        <w:pStyle w:val="Heading4"/>
        <w:rPr>
          <w:rFonts w:ascii="Cambria" w:hAnsi="Cambria"/>
          <w:lang w:val="en-GB"/>
        </w:rPr>
      </w:pPr>
      <w:r>
        <w:rPr>
          <w:rFonts w:ascii="Cambria" w:hAnsi="Cambria"/>
          <w:lang w:val="en-GB"/>
        </w:rPr>
        <w:t>C0175 – Amount meeting the conditions for Internal MREL eligibility</w:t>
      </w:r>
    </w:p>
    <w:p w14:paraId="68E43BE5" w14:textId="2F149CBA" w:rsidR="00E616B6" w:rsidRPr="006E2918" w:rsidRDefault="006E2918" w:rsidP="006E2918">
      <w:pPr>
        <w:rPr>
          <w:rFonts w:ascii="Cambria" w:hAnsi="Cambria"/>
          <w:lang w:val="en-GB"/>
        </w:rPr>
      </w:pPr>
      <w:commentRangeStart w:id="202"/>
      <w:r w:rsidRPr="006E2918">
        <w:rPr>
          <w:rFonts w:ascii="Cambria" w:hAnsi="Cambria"/>
          <w:lang w:val="en-GB"/>
        </w:rPr>
        <w:t>The outstanding amount of the MREL eligible liabilities calculated according to Article 45(4)(a) and (c) to (f) of the Directive 2014/59/EU. For this purpose, liabilities shall not be excluded from the calculation on the sole ground that they are issued to or held by a group entity.</w:t>
      </w:r>
      <w:commentRangeEnd w:id="202"/>
      <w:r w:rsidR="004A1962">
        <w:rPr>
          <w:rStyle w:val="CommentReference"/>
          <w:rFonts w:ascii="Cambria" w:eastAsia="MS Mincho" w:hAnsi="Cambria" w:cs="Times New Roman"/>
          <w:lang w:val="en-US"/>
        </w:rPr>
        <w:commentReference w:id="202"/>
      </w:r>
    </w:p>
    <w:p w14:paraId="17F0CA7F" w14:textId="064A6EF1" w:rsidR="00E20340" w:rsidRPr="00C243CD" w:rsidRDefault="00DA3A5D" w:rsidP="009474F1">
      <w:pPr>
        <w:pStyle w:val="Heading4"/>
        <w:rPr>
          <w:rFonts w:ascii="Cambria" w:hAnsi="Cambria"/>
          <w:lang w:val="en-GB"/>
        </w:rPr>
      </w:pPr>
      <w:r w:rsidRPr="00C243CD">
        <w:rPr>
          <w:rFonts w:ascii="Cambria" w:hAnsi="Cambria"/>
          <w:lang w:val="en-GB"/>
        </w:rPr>
        <w:t>c01</w:t>
      </w:r>
      <w:r w:rsidR="007D2893" w:rsidRPr="00C243CD">
        <w:rPr>
          <w:rFonts w:ascii="Cambria" w:hAnsi="Cambria"/>
          <w:lang w:val="en-GB"/>
        </w:rPr>
        <w:t>8</w:t>
      </w:r>
      <w:r w:rsidR="00E20340" w:rsidRPr="00C243CD">
        <w:rPr>
          <w:rFonts w:ascii="Cambria" w:hAnsi="Cambria"/>
          <w:lang w:val="en-GB"/>
        </w:rPr>
        <w:t>0 - Qualifying as Own Funds</w:t>
      </w:r>
    </w:p>
    <w:p w14:paraId="0B9534B2" w14:textId="77777777" w:rsidR="00E20340" w:rsidRPr="00C243CD" w:rsidRDefault="00E20340" w:rsidP="00C51450">
      <w:pPr>
        <w:rPr>
          <w:rFonts w:ascii="Cambria" w:hAnsi="Cambria"/>
          <w:lang w:val="en-GB"/>
        </w:rPr>
      </w:pPr>
      <w:r w:rsidRPr="00C243CD">
        <w:rPr>
          <w:rFonts w:ascii="Cambria" w:hAnsi="Cambria"/>
          <w:lang w:val="en-GB"/>
        </w:rPr>
        <w:t xml:space="preserve">Please indicate </w:t>
      </w:r>
      <w:r w:rsidR="00935A83" w:rsidRPr="00C243CD">
        <w:rPr>
          <w:rFonts w:ascii="Cambria" w:hAnsi="Cambria"/>
          <w:lang w:val="en-GB"/>
        </w:rPr>
        <w:t xml:space="preserve">if and </w:t>
      </w:r>
      <w:r w:rsidRPr="00C243CD">
        <w:rPr>
          <w:rFonts w:ascii="Cambria" w:hAnsi="Cambria"/>
          <w:lang w:val="en-GB"/>
        </w:rPr>
        <w:t xml:space="preserve">at which </w:t>
      </w:r>
      <w:r w:rsidR="00935A83" w:rsidRPr="00C243CD">
        <w:rPr>
          <w:rFonts w:ascii="Cambria" w:hAnsi="Cambria"/>
          <w:lang w:val="en-GB"/>
        </w:rPr>
        <w:t xml:space="preserve">level </w:t>
      </w:r>
      <w:r w:rsidRPr="00C243CD">
        <w:rPr>
          <w:rFonts w:ascii="Cambria" w:hAnsi="Cambria"/>
          <w:lang w:val="en-GB"/>
        </w:rPr>
        <w:t xml:space="preserve">the instrument is included in the own funds, alongside information on the phase-out regime and grandfathering arrangements. </w:t>
      </w:r>
      <w:r w:rsidR="00C51450" w:rsidRPr="00C243CD">
        <w:rPr>
          <w:rFonts w:ascii="Cambria" w:hAnsi="Cambria"/>
          <w:lang w:val="en-GB"/>
        </w:rPr>
        <w:t>Value can be ‘No’,</w:t>
      </w:r>
      <w:r w:rsidR="00DC2AA2" w:rsidRPr="00C243CD">
        <w:rPr>
          <w:rFonts w:ascii="Cambria" w:hAnsi="Cambria"/>
          <w:lang w:val="en-GB"/>
        </w:rPr>
        <w:t xml:space="preserve"> ‘Partially (A)T1 and T2’,</w:t>
      </w:r>
      <w:r w:rsidR="00C51450" w:rsidRPr="00C243CD">
        <w:rPr>
          <w:rFonts w:ascii="Cambria" w:hAnsi="Cambria"/>
          <w:lang w:val="en-GB"/>
        </w:rPr>
        <w:t xml:space="preserve"> </w:t>
      </w:r>
      <w:r w:rsidR="00FB02CE" w:rsidRPr="00C243CD">
        <w:rPr>
          <w:rFonts w:ascii="Cambria" w:hAnsi="Cambria"/>
          <w:lang w:val="en-GB"/>
        </w:rPr>
        <w:t>‘</w:t>
      </w:r>
      <w:r w:rsidR="00C51450" w:rsidRPr="00C243CD">
        <w:rPr>
          <w:rFonts w:ascii="Cambria" w:hAnsi="Cambria"/>
          <w:lang w:val="en-GB"/>
        </w:rPr>
        <w:t>T2 in phase-out</w:t>
      </w:r>
      <w:r w:rsidR="00FB02CE" w:rsidRPr="00C243CD">
        <w:rPr>
          <w:rFonts w:ascii="Cambria" w:hAnsi="Cambria"/>
          <w:lang w:val="en-GB"/>
        </w:rPr>
        <w:t>’, ‘</w:t>
      </w:r>
      <w:r w:rsidR="00C51450" w:rsidRPr="00C243CD">
        <w:rPr>
          <w:rFonts w:ascii="Cambria" w:hAnsi="Cambria"/>
          <w:lang w:val="en-GB"/>
        </w:rPr>
        <w:t>Grandfathered T2</w:t>
      </w:r>
      <w:r w:rsidR="00FB02CE" w:rsidRPr="00C243CD">
        <w:rPr>
          <w:rFonts w:ascii="Cambria" w:hAnsi="Cambria"/>
          <w:lang w:val="en-GB"/>
        </w:rPr>
        <w:t>’, ‘</w:t>
      </w:r>
      <w:r w:rsidR="00C51450" w:rsidRPr="00C243CD">
        <w:rPr>
          <w:rFonts w:ascii="Cambria" w:hAnsi="Cambria"/>
          <w:lang w:val="en-GB"/>
        </w:rPr>
        <w:t>Fully Compliant T2</w:t>
      </w:r>
      <w:r w:rsidR="00FB02CE" w:rsidRPr="00C243CD">
        <w:rPr>
          <w:rFonts w:ascii="Cambria" w:hAnsi="Cambria"/>
          <w:lang w:val="en-GB"/>
        </w:rPr>
        <w:t>’, ‘</w:t>
      </w:r>
      <w:r w:rsidR="00C51450" w:rsidRPr="00C243CD">
        <w:rPr>
          <w:rFonts w:ascii="Cambria" w:hAnsi="Cambria"/>
          <w:lang w:val="en-GB"/>
        </w:rPr>
        <w:t>Grandfathered AT1</w:t>
      </w:r>
      <w:r w:rsidR="00FB02CE" w:rsidRPr="00C243CD">
        <w:rPr>
          <w:rFonts w:ascii="Cambria" w:hAnsi="Cambria"/>
          <w:lang w:val="en-GB"/>
        </w:rPr>
        <w:t>’, ‘</w:t>
      </w:r>
      <w:r w:rsidR="00C51450" w:rsidRPr="00C243CD">
        <w:rPr>
          <w:rFonts w:ascii="Cambria" w:hAnsi="Cambria"/>
          <w:lang w:val="en-GB"/>
        </w:rPr>
        <w:t>Fully Compliant AT1</w:t>
      </w:r>
      <w:r w:rsidR="00FB02CE" w:rsidRPr="00C243CD">
        <w:rPr>
          <w:rFonts w:ascii="Cambria" w:hAnsi="Cambria"/>
          <w:lang w:val="en-GB"/>
        </w:rPr>
        <w:t>’ or ‘</w:t>
      </w:r>
      <w:r w:rsidR="00C51450" w:rsidRPr="00C243CD">
        <w:rPr>
          <w:rFonts w:ascii="Cambria" w:hAnsi="Cambria"/>
          <w:lang w:val="en-GB"/>
        </w:rPr>
        <w:t>CET1</w:t>
      </w:r>
      <w:r w:rsidR="00FB02CE" w:rsidRPr="00C243CD">
        <w:rPr>
          <w:rFonts w:ascii="Cambria" w:hAnsi="Cambria"/>
          <w:lang w:val="en-GB"/>
        </w:rPr>
        <w:t>’ from a predefined list.</w:t>
      </w:r>
    </w:p>
    <w:p w14:paraId="761339DF" w14:textId="07CAFCC5" w:rsidR="00E20340" w:rsidRPr="00C243CD" w:rsidRDefault="00DA3A5D" w:rsidP="009474F1">
      <w:pPr>
        <w:pStyle w:val="Heading4"/>
        <w:rPr>
          <w:rFonts w:ascii="Cambria" w:hAnsi="Cambria"/>
          <w:lang w:val="en-GB"/>
        </w:rPr>
      </w:pPr>
      <w:r w:rsidRPr="00C243CD">
        <w:rPr>
          <w:rFonts w:ascii="Cambria" w:hAnsi="Cambria"/>
          <w:lang w:val="en-GB"/>
        </w:rPr>
        <w:t>c01</w:t>
      </w:r>
      <w:r w:rsidR="007D2893" w:rsidRPr="00C243CD">
        <w:rPr>
          <w:rFonts w:ascii="Cambria" w:hAnsi="Cambria"/>
          <w:lang w:val="en-GB"/>
        </w:rPr>
        <w:t>90</w:t>
      </w:r>
      <w:r w:rsidR="00E20340" w:rsidRPr="00C243CD">
        <w:rPr>
          <w:rFonts w:ascii="Cambria" w:hAnsi="Cambria"/>
          <w:lang w:val="en-GB"/>
        </w:rPr>
        <w:t xml:space="preserve"> - Amount Included in Own Funds, taking into account phase-out as applicable</w:t>
      </w:r>
    </w:p>
    <w:p w14:paraId="5AA01C77" w14:textId="77777777" w:rsidR="00E20340" w:rsidRPr="00C243CD" w:rsidRDefault="00FC47FC" w:rsidP="009474F1">
      <w:pPr>
        <w:rPr>
          <w:rFonts w:ascii="Cambria" w:hAnsi="Cambria"/>
          <w:lang w:val="en-GB"/>
        </w:rPr>
      </w:pPr>
      <w:r w:rsidRPr="00C243CD">
        <w:rPr>
          <w:rFonts w:ascii="Cambria" w:hAnsi="Cambria"/>
          <w:lang w:val="en-GB"/>
        </w:rPr>
        <w:t>The actual amount in EUR of the instrument qualifying as own funds.</w:t>
      </w:r>
    </w:p>
    <w:p w14:paraId="4B70F631" w14:textId="77777777" w:rsidR="00247671" w:rsidRPr="00C243CD" w:rsidRDefault="00247671">
      <w:pPr>
        <w:spacing w:after="160" w:line="259" w:lineRule="auto"/>
        <w:jc w:val="left"/>
        <w:rPr>
          <w:rFonts w:ascii="Cambria" w:hAnsi="Cambria"/>
          <w:lang w:val="en-GB"/>
        </w:rPr>
      </w:pPr>
    </w:p>
    <w:p w14:paraId="47A1A465" w14:textId="77777777" w:rsidR="00247671" w:rsidRPr="00C243CD" w:rsidRDefault="00247671">
      <w:pPr>
        <w:spacing w:after="160" w:line="259" w:lineRule="auto"/>
        <w:jc w:val="left"/>
        <w:rPr>
          <w:rFonts w:ascii="Cambria" w:hAnsi="Cambria"/>
          <w:lang w:val="en-GB"/>
        </w:rPr>
        <w:sectPr w:rsidR="00247671" w:rsidRPr="00C243CD" w:rsidSect="00AC044E">
          <w:pgSz w:w="11906" w:h="16838"/>
          <w:pgMar w:top="2552" w:right="1440" w:bottom="1440" w:left="1440" w:header="708" w:footer="708" w:gutter="0"/>
          <w:cols w:space="708"/>
          <w:titlePg/>
          <w:docGrid w:linePitch="360"/>
        </w:sectPr>
      </w:pPr>
    </w:p>
    <w:p w14:paraId="1F2C946E" w14:textId="77777777" w:rsidR="00540870" w:rsidRPr="00C243CD" w:rsidRDefault="00247671">
      <w:pPr>
        <w:spacing w:after="160" w:line="259" w:lineRule="auto"/>
        <w:jc w:val="left"/>
        <w:rPr>
          <w:rFonts w:ascii="Cambria" w:eastAsiaTheme="majorEastAsia" w:hAnsi="Cambria" w:cstheme="majorBidi"/>
          <w:sz w:val="24"/>
          <w:szCs w:val="24"/>
          <w:u w:val="single"/>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43" behindDoc="0" locked="0" layoutInCell="1" allowOverlap="1" wp14:anchorId="1EE0E1A7" wp14:editId="343D7B7E">
                <wp:simplePos x="0" y="0"/>
                <wp:positionH relativeFrom="page">
                  <wp:align>center</wp:align>
                </wp:positionH>
                <wp:positionV relativeFrom="paragraph">
                  <wp:posOffset>520534</wp:posOffset>
                </wp:positionV>
                <wp:extent cx="9788056" cy="5959475"/>
                <wp:effectExtent l="0" t="0" r="22860" b="27305"/>
                <wp:wrapNone/>
                <wp:docPr id="14" name="Text Box 14"/>
                <wp:cNvGraphicFramePr/>
                <a:graphic xmlns:a="http://schemas.openxmlformats.org/drawingml/2006/main">
                  <a:graphicData uri="http://schemas.microsoft.com/office/word/2010/wordprocessingShape">
                    <wps:wsp>
                      <wps:cNvSpPr txBox="1"/>
                      <wps:spPr>
                        <a:xfrm>
                          <a:off x="0" y="0"/>
                          <a:ext cx="9788056"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B2567" w14:textId="77777777" w:rsidR="002D45CF" w:rsidRPr="006550F9" w:rsidRDefault="002D45CF">
                            <w:pPr>
                              <w:rPr>
                                <w:b/>
                                <w:lang w:val="en-GB"/>
                              </w:rPr>
                            </w:pPr>
                            <w:r w:rsidRPr="006550F9">
                              <w:rPr>
                                <w:b/>
                                <w:lang w:val="en-GB"/>
                              </w:rPr>
                              <w:t>Simplified example</w:t>
                            </w:r>
                          </w:p>
                          <w:p w14:paraId="7D46DA2C" w14:textId="77777777" w:rsidR="002D45CF" w:rsidRPr="006550F9" w:rsidRDefault="002D45CF">
                            <w:pPr>
                              <w:rPr>
                                <w:lang w:val="en-GB"/>
                              </w:rPr>
                            </w:pPr>
                          </w:p>
                          <w:p w14:paraId="222CD08F" w14:textId="742DCB6D" w:rsidR="002D45CF" w:rsidRPr="00247671" w:rsidRDefault="002D45CF">
                            <w:pPr>
                              <w:rPr>
                                <w:lang w:val="en-GB"/>
                              </w:rPr>
                            </w:pPr>
                            <w:r w:rsidRPr="00247671">
                              <w:rPr>
                                <w:lang w:val="en-GB"/>
                              </w:rPr>
                              <w:t>A</w:t>
                            </w:r>
                            <w:r w:rsidRPr="006550F9">
                              <w:rPr>
                                <w:lang w:val="en-GB"/>
                              </w:rPr>
                              <w:t xml:space="preserve">n institution has received a </w:t>
                            </w:r>
                            <w:r>
                              <w:rPr>
                                <w:lang w:val="en-GB"/>
                              </w:rPr>
                              <w:t xml:space="preserve">USD </w:t>
                            </w:r>
                            <w:r w:rsidRPr="00247671">
                              <w:rPr>
                                <w:lang w:val="en-GB"/>
                              </w:rPr>
                              <w:t xml:space="preserve">term </w:t>
                            </w:r>
                            <w:r w:rsidRPr="006550F9">
                              <w:rPr>
                                <w:lang w:val="en-GB"/>
                              </w:rPr>
                              <w:t xml:space="preserve">deposit from a subsidiary in the amount of </w:t>
                            </w:r>
                            <w:r>
                              <w:rPr>
                                <w:lang w:val="en-GB"/>
                              </w:rPr>
                              <w:t>EUR</w:t>
                            </w:r>
                            <w:r w:rsidRPr="00247671">
                              <w:rPr>
                                <w:lang w:val="en-GB"/>
                              </w:rPr>
                              <w:t xml:space="preserve"> </w:t>
                            </w:r>
                            <w:r w:rsidRPr="006550F9">
                              <w:rPr>
                                <w:lang w:val="en-GB"/>
                              </w:rPr>
                              <w:t>500 million</w:t>
                            </w:r>
                            <w:r w:rsidRPr="00247671">
                              <w:rPr>
                                <w:lang w:val="en-GB"/>
                              </w:rPr>
                              <w:t xml:space="preserve"> on 1 July 201</w:t>
                            </w:r>
                            <w:r>
                              <w:rPr>
                                <w:lang w:val="en-GB"/>
                              </w:rPr>
                              <w:t>8</w:t>
                            </w:r>
                            <w:r w:rsidRPr="006550F9">
                              <w:rPr>
                                <w:lang w:val="en-GB"/>
                              </w:rPr>
                              <w:t xml:space="preserve">, with a </w:t>
                            </w:r>
                            <w:r w:rsidRPr="00247671">
                              <w:rPr>
                                <w:lang w:val="en-GB"/>
                              </w:rPr>
                              <w:t>maturity date of 30 June 20</w:t>
                            </w:r>
                            <w:r>
                              <w:rPr>
                                <w:lang w:val="en-GB"/>
                              </w:rPr>
                              <w:t>21</w:t>
                            </w:r>
                            <w:r w:rsidRPr="00247671">
                              <w:rPr>
                                <w:lang w:val="en-GB"/>
                              </w:rPr>
                              <w:t xml:space="preserve"> and no early redemption clauses. The interest rate is 2%, payable at the end of the contract. The contract is neither structured, nor guaranteed or secured in any form.</w:t>
                            </w:r>
                          </w:p>
                          <w:p w14:paraId="2C49BA1E" w14:textId="77777777" w:rsidR="002D45CF" w:rsidRDefault="002D45CF">
                            <w:pPr>
                              <w:rPr>
                                <w:lang w:val="en-GB"/>
                              </w:rPr>
                            </w:pPr>
                            <w:r w:rsidRPr="00247671">
                              <w:rPr>
                                <w:lang w:val="en-GB"/>
                              </w:rPr>
                              <w:t>The applicable law of the deposit is the one of the United States of America and the supervisory authority has not agreed to assume effectiveness of its write-down and conversion powers under article 44.5 of the BRRD.</w:t>
                            </w:r>
                            <w:r>
                              <w:rPr>
                                <w:lang w:val="en-GB"/>
                              </w:rPr>
                              <w:t xml:space="preserve"> The insolvency ranking of the deposit under the law of the country where the reporting institution is incorporated is equal to 5.</w:t>
                            </w:r>
                          </w:p>
                          <w:p w14:paraId="2375E545" w14:textId="35A331AD" w:rsidR="002D45CF" w:rsidRDefault="002D45CF" w:rsidP="00A10180">
                            <w:pPr>
                              <w:rPr>
                                <w:lang w:val="en-GB"/>
                              </w:rPr>
                            </w:pPr>
                            <w:r>
                              <w:rPr>
                                <w:lang w:val="en-GB"/>
                              </w:rPr>
                              <w:t>As at 31 December 2019, the entity should report this intragroup term deposit as follows:</w:t>
                            </w:r>
                          </w:p>
                          <w:p w14:paraId="7CE94FC5" w14:textId="77777777" w:rsidR="002D45CF" w:rsidRPr="006550F9" w:rsidRDefault="002D45CF">
                            <w:pPr>
                              <w:rPr>
                                <w:sz w:val="16"/>
                                <w:lang w:val="en-GB"/>
                              </w:rPr>
                            </w:pPr>
                          </w:p>
                          <w:p w14:paraId="16DC3015" w14:textId="0A36E02D" w:rsidR="002D45CF" w:rsidRDefault="0046120E">
                            <w:pPr>
                              <w:rPr>
                                <w:lang w:val="en-GB"/>
                              </w:rPr>
                            </w:pPr>
                            <w:r w:rsidRPr="0046120E">
                              <w:drawing>
                                <wp:inline distT="0" distB="0" distL="0" distR="0" wp14:anchorId="7642D352" wp14:editId="0245192D">
                                  <wp:extent cx="9498164" cy="1665027"/>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6258" cy="1669952"/>
                                          </a:xfrm>
                                          <a:prstGeom prst="rect">
                                            <a:avLst/>
                                          </a:prstGeom>
                                          <a:noFill/>
                                          <a:ln>
                                            <a:noFill/>
                                          </a:ln>
                                        </pic:spPr>
                                      </pic:pic>
                                    </a:graphicData>
                                  </a:graphic>
                                </wp:inline>
                              </w:drawing>
                            </w:r>
                          </w:p>
                          <w:p w14:paraId="029B5C03" w14:textId="1F971DA0" w:rsidR="002D45CF" w:rsidRPr="006550F9" w:rsidRDefault="0046120E">
                            <w:pPr>
                              <w:rPr>
                                <w:lang w:val="en-GB"/>
                              </w:rPr>
                            </w:pPr>
                            <w:r w:rsidRPr="0046120E">
                              <w:drawing>
                                <wp:inline distT="0" distB="0" distL="0" distR="0" wp14:anchorId="03584345" wp14:editId="56C0C9E2">
                                  <wp:extent cx="9454588" cy="1808328"/>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48603" cy="1826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E0E1A7" id="Text Box 14" o:spid="_x0000_s1027" type="#_x0000_t202" style="position:absolute;margin-left:0;margin-top:41pt;width:770.7pt;height:469.25pt;z-index:25165824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" fillcolor="white [3201]" strokeweight=".5pt">
                <v:textbox style="mso-fit-shape-to-text:t">
                  <w:txbxContent>
                    <w:p w14:paraId="672B2567" w14:textId="77777777" w:rsidR="002D45CF" w:rsidRPr="006550F9" w:rsidRDefault="002D45CF">
                      <w:pPr>
                        <w:rPr>
                          <w:b/>
                          <w:lang w:val="en-GB"/>
                        </w:rPr>
                      </w:pPr>
                      <w:r w:rsidRPr="006550F9">
                        <w:rPr>
                          <w:b/>
                          <w:lang w:val="en-GB"/>
                        </w:rPr>
                        <w:t>Simplified example</w:t>
                      </w:r>
                    </w:p>
                    <w:p w14:paraId="7D46DA2C" w14:textId="77777777" w:rsidR="002D45CF" w:rsidRPr="006550F9" w:rsidRDefault="002D45CF">
                      <w:pPr>
                        <w:rPr>
                          <w:lang w:val="en-GB"/>
                        </w:rPr>
                      </w:pPr>
                    </w:p>
                    <w:p w14:paraId="222CD08F" w14:textId="742DCB6D" w:rsidR="002D45CF" w:rsidRPr="00247671" w:rsidRDefault="002D45CF">
                      <w:pPr>
                        <w:rPr>
                          <w:lang w:val="en-GB"/>
                        </w:rPr>
                      </w:pPr>
                      <w:r w:rsidRPr="00247671">
                        <w:rPr>
                          <w:lang w:val="en-GB"/>
                        </w:rPr>
                        <w:t>A</w:t>
                      </w:r>
                      <w:r w:rsidRPr="006550F9">
                        <w:rPr>
                          <w:lang w:val="en-GB"/>
                        </w:rPr>
                        <w:t xml:space="preserve">n institution has received a </w:t>
                      </w:r>
                      <w:r>
                        <w:rPr>
                          <w:lang w:val="en-GB"/>
                        </w:rPr>
                        <w:t xml:space="preserve">USD </w:t>
                      </w:r>
                      <w:r w:rsidRPr="00247671">
                        <w:rPr>
                          <w:lang w:val="en-GB"/>
                        </w:rPr>
                        <w:t xml:space="preserve">term </w:t>
                      </w:r>
                      <w:r w:rsidRPr="006550F9">
                        <w:rPr>
                          <w:lang w:val="en-GB"/>
                        </w:rPr>
                        <w:t xml:space="preserve">deposit from a subsidiary in the amount of </w:t>
                      </w:r>
                      <w:r>
                        <w:rPr>
                          <w:lang w:val="en-GB"/>
                        </w:rPr>
                        <w:t>EUR</w:t>
                      </w:r>
                      <w:r w:rsidRPr="00247671">
                        <w:rPr>
                          <w:lang w:val="en-GB"/>
                        </w:rPr>
                        <w:t xml:space="preserve"> </w:t>
                      </w:r>
                      <w:r w:rsidRPr="006550F9">
                        <w:rPr>
                          <w:lang w:val="en-GB"/>
                        </w:rPr>
                        <w:t>500 million</w:t>
                      </w:r>
                      <w:r w:rsidRPr="00247671">
                        <w:rPr>
                          <w:lang w:val="en-GB"/>
                        </w:rPr>
                        <w:t xml:space="preserve"> on 1 July 201</w:t>
                      </w:r>
                      <w:r>
                        <w:rPr>
                          <w:lang w:val="en-GB"/>
                        </w:rPr>
                        <w:t>8</w:t>
                      </w:r>
                      <w:r w:rsidRPr="006550F9">
                        <w:rPr>
                          <w:lang w:val="en-GB"/>
                        </w:rPr>
                        <w:t xml:space="preserve">, with a </w:t>
                      </w:r>
                      <w:r w:rsidRPr="00247671">
                        <w:rPr>
                          <w:lang w:val="en-GB"/>
                        </w:rPr>
                        <w:t>maturity date of 30 June 20</w:t>
                      </w:r>
                      <w:r>
                        <w:rPr>
                          <w:lang w:val="en-GB"/>
                        </w:rPr>
                        <w:t>21</w:t>
                      </w:r>
                      <w:r w:rsidRPr="00247671">
                        <w:rPr>
                          <w:lang w:val="en-GB"/>
                        </w:rPr>
                        <w:t xml:space="preserve"> and no early redemption clauses. The interest rate is 2%, payable at the end of the contract. The contract is neither structured, nor guaranteed or secured in any form.</w:t>
                      </w:r>
                    </w:p>
                    <w:p w14:paraId="2C49BA1E" w14:textId="77777777" w:rsidR="002D45CF" w:rsidRDefault="002D45CF">
                      <w:pPr>
                        <w:rPr>
                          <w:lang w:val="en-GB"/>
                        </w:rPr>
                      </w:pPr>
                      <w:r w:rsidRPr="00247671">
                        <w:rPr>
                          <w:lang w:val="en-GB"/>
                        </w:rPr>
                        <w:t>The applicable law of the deposit is the one of the United States of America and the supervisory authority has not agreed to assume effectiveness of its write-down and conversion powers under article 44.5 of the BRRD.</w:t>
                      </w:r>
                      <w:r>
                        <w:rPr>
                          <w:lang w:val="en-GB"/>
                        </w:rPr>
                        <w:t xml:space="preserve"> The insolvency ranking of the deposit under the law of the country where the reporting institution is incorporated is equal to 5.</w:t>
                      </w:r>
                    </w:p>
                    <w:p w14:paraId="2375E545" w14:textId="35A331AD" w:rsidR="002D45CF" w:rsidRDefault="002D45CF" w:rsidP="00A10180">
                      <w:pPr>
                        <w:rPr>
                          <w:lang w:val="en-GB"/>
                        </w:rPr>
                      </w:pPr>
                      <w:r>
                        <w:rPr>
                          <w:lang w:val="en-GB"/>
                        </w:rPr>
                        <w:t>As at 31 December 2019, the entity should report this intragroup term deposit as follows:</w:t>
                      </w:r>
                    </w:p>
                    <w:p w14:paraId="7CE94FC5" w14:textId="77777777" w:rsidR="002D45CF" w:rsidRPr="006550F9" w:rsidRDefault="002D45CF">
                      <w:pPr>
                        <w:rPr>
                          <w:sz w:val="16"/>
                          <w:lang w:val="en-GB"/>
                        </w:rPr>
                      </w:pPr>
                    </w:p>
                    <w:p w14:paraId="16DC3015" w14:textId="0A36E02D" w:rsidR="002D45CF" w:rsidRDefault="0046120E">
                      <w:pPr>
                        <w:rPr>
                          <w:lang w:val="en-GB"/>
                        </w:rPr>
                      </w:pPr>
                      <w:r w:rsidRPr="0046120E">
                        <w:drawing>
                          <wp:inline distT="0" distB="0" distL="0" distR="0" wp14:anchorId="7642D352" wp14:editId="0245192D">
                            <wp:extent cx="9498164" cy="1665027"/>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6258" cy="1669952"/>
                                    </a:xfrm>
                                    <a:prstGeom prst="rect">
                                      <a:avLst/>
                                    </a:prstGeom>
                                    <a:noFill/>
                                    <a:ln>
                                      <a:noFill/>
                                    </a:ln>
                                  </pic:spPr>
                                </pic:pic>
                              </a:graphicData>
                            </a:graphic>
                          </wp:inline>
                        </w:drawing>
                      </w:r>
                    </w:p>
                    <w:p w14:paraId="029B5C03" w14:textId="1F971DA0" w:rsidR="002D45CF" w:rsidRPr="006550F9" w:rsidRDefault="0046120E">
                      <w:pPr>
                        <w:rPr>
                          <w:lang w:val="en-GB"/>
                        </w:rPr>
                      </w:pPr>
                      <w:r w:rsidRPr="0046120E">
                        <w:drawing>
                          <wp:inline distT="0" distB="0" distL="0" distR="0" wp14:anchorId="03584345" wp14:editId="56C0C9E2">
                            <wp:extent cx="9454588" cy="1808328"/>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48603" cy="1826310"/>
                                    </a:xfrm>
                                    <a:prstGeom prst="rect">
                                      <a:avLst/>
                                    </a:prstGeom>
                                    <a:noFill/>
                                    <a:ln>
                                      <a:noFill/>
                                    </a:ln>
                                  </pic:spPr>
                                </pic:pic>
                              </a:graphicData>
                            </a:graphic>
                          </wp:inline>
                        </w:drawing>
                      </w:r>
                    </w:p>
                  </w:txbxContent>
                </v:textbox>
                <w10:wrap anchorx="page"/>
              </v:shape>
            </w:pict>
          </mc:Fallback>
        </mc:AlternateContent>
      </w:r>
      <w:r w:rsidR="00540870" w:rsidRPr="00C243CD">
        <w:rPr>
          <w:rFonts w:ascii="Cambria" w:hAnsi="Cambria"/>
          <w:lang w:val="en-GB"/>
        </w:rPr>
        <w:br w:type="page"/>
      </w:r>
    </w:p>
    <w:p w14:paraId="0C46FC5B" w14:textId="77777777" w:rsidR="00247671" w:rsidRPr="00C243CD" w:rsidRDefault="00247671" w:rsidP="00B27610">
      <w:pPr>
        <w:pStyle w:val="Heading3"/>
        <w:numPr>
          <w:ilvl w:val="0"/>
          <w:numId w:val="22"/>
        </w:numPr>
        <w:ind w:left="426" w:hanging="426"/>
        <w:rPr>
          <w:rFonts w:ascii="Cambria" w:hAnsi="Cambria"/>
          <w:lang w:val="en-GB"/>
        </w:rPr>
        <w:sectPr w:rsidR="00247671" w:rsidRPr="00C243CD" w:rsidSect="006550F9">
          <w:pgSz w:w="16838" w:h="11906" w:orient="landscape"/>
          <w:pgMar w:top="1440" w:right="2552" w:bottom="1440" w:left="1440" w:header="709" w:footer="709" w:gutter="0"/>
          <w:cols w:space="708"/>
          <w:titlePg/>
          <w:docGrid w:linePitch="360"/>
        </w:sectPr>
      </w:pPr>
    </w:p>
    <w:p w14:paraId="1A4BF1F9" w14:textId="77777777" w:rsidR="002B5DBA" w:rsidRPr="00C243CD" w:rsidRDefault="002B5DBA" w:rsidP="00B27610">
      <w:pPr>
        <w:pStyle w:val="Heading3"/>
        <w:numPr>
          <w:ilvl w:val="0"/>
          <w:numId w:val="22"/>
        </w:numPr>
        <w:ind w:left="426" w:hanging="426"/>
        <w:rPr>
          <w:rFonts w:ascii="Cambria" w:hAnsi="Cambria"/>
          <w:lang w:val="en-GB"/>
        </w:rPr>
      </w:pPr>
      <w:bookmarkStart w:id="203" w:name="_Toc12973025"/>
      <w:bookmarkStart w:id="204" w:name="_Toc13755755"/>
      <w:r w:rsidRPr="00C243CD">
        <w:rPr>
          <w:rFonts w:ascii="Cambria" w:hAnsi="Cambria"/>
          <w:lang w:val="en-GB"/>
        </w:rPr>
        <w:lastRenderedPageBreak/>
        <w:t>T03.02</w:t>
      </w:r>
      <w:r w:rsidR="009202A4" w:rsidRPr="00C243CD">
        <w:rPr>
          <w:rFonts w:ascii="Cambria" w:hAnsi="Cambria"/>
          <w:lang w:val="en-GB"/>
        </w:rPr>
        <w:t xml:space="preserve"> - Intragroup Guarantees - Received</w:t>
      </w:r>
      <w:bookmarkEnd w:id="203"/>
      <w:bookmarkEnd w:id="204"/>
    </w:p>
    <w:p w14:paraId="6E8E98CC" w14:textId="77777777" w:rsidR="006C3BDB" w:rsidRPr="00C243CD" w:rsidRDefault="006C3BDB" w:rsidP="00B27610">
      <w:pPr>
        <w:rPr>
          <w:rFonts w:ascii="Cambria" w:hAnsi="Cambria"/>
          <w:lang w:val="en-GB"/>
        </w:rPr>
      </w:pPr>
      <w:r w:rsidRPr="00C243CD">
        <w:rPr>
          <w:rFonts w:ascii="Cambria" w:hAnsi="Cambria"/>
          <w:lang w:val="en-GB"/>
        </w:rPr>
        <w:t xml:space="preserve">This table shall include all types of </w:t>
      </w:r>
      <w:r w:rsidR="001A3B77" w:rsidRPr="00C243CD">
        <w:rPr>
          <w:rFonts w:ascii="Cambria" w:hAnsi="Cambria"/>
          <w:lang w:val="en-GB"/>
        </w:rPr>
        <w:t xml:space="preserve">financial </w:t>
      </w:r>
      <w:r w:rsidRPr="00C243CD">
        <w:rPr>
          <w:rFonts w:ascii="Cambria" w:hAnsi="Cambria"/>
          <w:lang w:val="en-GB"/>
        </w:rPr>
        <w:t xml:space="preserve">guarantees, either general or specific, that the reporting entity has received from other entities within the accounting scope of consolidation of its </w:t>
      </w:r>
      <w:r w:rsidR="007A2597" w:rsidRPr="00C243CD">
        <w:rPr>
          <w:rFonts w:ascii="Cambria" w:hAnsi="Cambria"/>
          <w:lang w:val="en-GB"/>
        </w:rPr>
        <w:t>ultimate parent entity</w:t>
      </w:r>
      <w:r w:rsidRPr="00C243CD">
        <w:rPr>
          <w:rFonts w:ascii="Cambria" w:hAnsi="Cambria"/>
          <w:lang w:val="en-GB"/>
        </w:rPr>
        <w:t>.</w:t>
      </w:r>
    </w:p>
    <w:p w14:paraId="6F88C4EA" w14:textId="77777777" w:rsidR="005C174B" w:rsidRDefault="005C174B" w:rsidP="00B27610">
      <w:pPr>
        <w:rPr>
          <w:rFonts w:ascii="Cambria" w:hAnsi="Cambria"/>
          <w:lang w:val="en-GB"/>
        </w:rPr>
      </w:pPr>
      <w:r w:rsidRPr="00C243CD">
        <w:rPr>
          <w:rFonts w:ascii="Cambria" w:hAnsi="Cambria"/>
          <w:lang w:val="en-GB"/>
        </w:rPr>
        <w:t>For the purposes of this table, guarantees have to be reported on a transaction basis, i.e. each transaction reported as an individual line item.</w:t>
      </w:r>
      <w:r w:rsidR="00E92F58" w:rsidRPr="00C243CD">
        <w:rPr>
          <w:rFonts w:ascii="Cambria" w:hAnsi="Cambria"/>
          <w:lang w:val="en-GB"/>
        </w:rPr>
        <w:t xml:space="preserve"> No reporting thresholds are applicable in this respect.</w:t>
      </w:r>
    </w:p>
    <w:p w14:paraId="6CF73A1E" w14:textId="114FCFAF" w:rsidR="004F470B" w:rsidRPr="00C243CD" w:rsidRDefault="00DA3A5D" w:rsidP="004F470B">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10 - N°</w:t>
      </w:r>
    </w:p>
    <w:p w14:paraId="637D8D81" w14:textId="50BFB752" w:rsidR="004F470B" w:rsidRDefault="004F470B" w:rsidP="004F470B">
      <w:pPr>
        <w:rPr>
          <w:rFonts w:ascii="Cambria" w:hAnsi="Cambria"/>
          <w:lang w:val="en-GB"/>
        </w:rPr>
      </w:pPr>
      <w:r w:rsidRPr="00C243CD">
        <w:rPr>
          <w:rFonts w:ascii="Cambria" w:hAnsi="Cambria"/>
          <w:lang w:val="en-GB"/>
        </w:rPr>
        <w:t>Unique number/primary key to identify the line items.</w:t>
      </w:r>
    </w:p>
    <w:p w14:paraId="62AA6A66" w14:textId="37331DFC" w:rsidR="00D202BC"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20</w:t>
      </w:r>
      <w:r w:rsidR="00D202BC" w:rsidRPr="00C243CD">
        <w:rPr>
          <w:rFonts w:ascii="Cambria" w:hAnsi="Cambria"/>
          <w:lang w:val="en-GB"/>
        </w:rPr>
        <w:t xml:space="preserve"> - Insolvency Ranking</w:t>
      </w:r>
    </w:p>
    <w:p w14:paraId="3EC0B168" w14:textId="77777777" w:rsidR="00D202BC" w:rsidRPr="00C243CD" w:rsidRDefault="00D202BC" w:rsidP="009474F1">
      <w:pPr>
        <w:rPr>
          <w:rFonts w:ascii="Cambria" w:hAnsi="Cambria"/>
          <w:lang w:val="en-GB"/>
        </w:rPr>
      </w:pPr>
      <w:r w:rsidRPr="00C243CD">
        <w:rPr>
          <w:rFonts w:ascii="Cambria" w:hAnsi="Cambria"/>
          <w:lang w:val="en-GB"/>
        </w:rPr>
        <w:t xml:space="preserve">Identified ranking in line with </w:t>
      </w:r>
      <w:r w:rsidR="00E62E61" w:rsidRPr="00C243CD">
        <w:rPr>
          <w:rFonts w:ascii="Cambria" w:hAnsi="Cambria"/>
          <w:lang w:val="en-GB"/>
        </w:rPr>
        <w:t xml:space="preserve">Part 1, Section 6 </w:t>
      </w:r>
      <w:r w:rsidRPr="00C243CD">
        <w:rPr>
          <w:rFonts w:ascii="Cambria" w:hAnsi="Cambria"/>
          <w:lang w:val="en-GB"/>
        </w:rPr>
        <w:t xml:space="preserve">of the </w:t>
      </w:r>
      <w:r w:rsidR="00341874" w:rsidRPr="00C243CD">
        <w:rPr>
          <w:rFonts w:ascii="Cambria" w:hAnsi="Cambria"/>
          <w:lang w:val="en-GB"/>
        </w:rPr>
        <w:t>guidance</w:t>
      </w:r>
      <w:r w:rsidRPr="00C243CD">
        <w:rPr>
          <w:rFonts w:ascii="Cambria" w:hAnsi="Cambria"/>
          <w:lang w:val="en-GB"/>
        </w:rPr>
        <w:t>.</w:t>
      </w:r>
      <w:r w:rsidR="003A24E8" w:rsidRPr="00C243CD">
        <w:rPr>
          <w:rFonts w:ascii="Cambria" w:hAnsi="Cambria"/>
          <w:lang w:val="en-GB"/>
        </w:rPr>
        <w:t xml:space="preserve"> For the guarantees, please provide the ranking the resulting claim would receive.</w:t>
      </w:r>
    </w:p>
    <w:p w14:paraId="0162C145" w14:textId="36D31014"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3</w:t>
      </w:r>
      <w:r w:rsidR="002B5DBA" w:rsidRPr="00C243CD">
        <w:rPr>
          <w:rFonts w:ascii="Cambria" w:hAnsi="Cambria"/>
          <w:lang w:val="en-GB"/>
        </w:rPr>
        <w:t>0 - Internal identifier</w:t>
      </w:r>
    </w:p>
    <w:p w14:paraId="449D296A" w14:textId="5744A330" w:rsidR="002B5DBA" w:rsidRDefault="002B5DBA" w:rsidP="009474F1">
      <w:pPr>
        <w:rPr>
          <w:rFonts w:ascii="Cambria" w:hAnsi="Cambria"/>
          <w:lang w:val="en-GB"/>
        </w:rPr>
      </w:pPr>
      <w:r w:rsidRPr="00C243CD">
        <w:rPr>
          <w:rFonts w:ascii="Cambria" w:hAnsi="Cambria"/>
          <w:lang w:val="en-GB"/>
        </w:rPr>
        <w:t>Internal identifier of the guarantee and of the financial support arrangement, if applicable.</w:t>
      </w:r>
    </w:p>
    <w:p w14:paraId="4C9D0A4F" w14:textId="76A30F23" w:rsidR="005C7220" w:rsidRDefault="005C7220" w:rsidP="005C7220">
      <w:pPr>
        <w:pStyle w:val="Heading4"/>
        <w:rPr>
          <w:rFonts w:ascii="Cambria" w:hAnsi="Cambria"/>
          <w:lang w:val="en-GB"/>
        </w:rPr>
      </w:pPr>
      <w:r>
        <w:rPr>
          <w:rFonts w:ascii="Cambria" w:hAnsi="Cambria"/>
          <w:lang w:val="en-GB"/>
        </w:rPr>
        <w:t>c0035 - Entity name of the lending entity</w:t>
      </w:r>
    </w:p>
    <w:p w14:paraId="7F354186" w14:textId="22D9BD1C" w:rsidR="005C7220" w:rsidRPr="00C243CD" w:rsidRDefault="005C7220" w:rsidP="009474F1">
      <w:pPr>
        <w:rPr>
          <w:rFonts w:ascii="Cambria" w:hAnsi="Cambria"/>
          <w:lang w:val="en-GB"/>
        </w:rPr>
      </w:pPr>
      <w:r w:rsidRPr="008125B1">
        <w:rPr>
          <w:rFonts w:ascii="Cambria" w:hAnsi="Cambria"/>
          <w:lang w:val="en-GB"/>
        </w:rPr>
        <w:t xml:space="preserve">Must be different from the entity name </w:t>
      </w:r>
      <w:r>
        <w:rPr>
          <w:rFonts w:ascii="Cambria" w:hAnsi="Cambria"/>
          <w:lang w:val="en-GB"/>
        </w:rPr>
        <w:t>reported in</w:t>
      </w:r>
      <w:r w:rsidRPr="008125B1">
        <w:rPr>
          <w:rFonts w:ascii="Cambria" w:hAnsi="Cambria"/>
          <w:lang w:val="en-GB"/>
        </w:rPr>
        <w:t xml:space="preserve"> </w:t>
      </w:r>
      <w:r>
        <w:rPr>
          <w:rFonts w:ascii="Cambria" w:hAnsi="Cambria"/>
          <w:lang w:val="en-GB"/>
        </w:rPr>
        <w:t>T99.00-r</w:t>
      </w:r>
      <w:r w:rsidRPr="008125B1">
        <w:rPr>
          <w:rFonts w:ascii="Cambria" w:hAnsi="Cambria"/>
          <w:lang w:val="en-GB"/>
        </w:rPr>
        <w:t>0010</w:t>
      </w:r>
      <w:r>
        <w:rPr>
          <w:rFonts w:ascii="Cambria" w:hAnsi="Cambria"/>
          <w:lang w:val="en-GB"/>
        </w:rPr>
        <w:t>.</w:t>
      </w:r>
    </w:p>
    <w:p w14:paraId="5C4AADEF" w14:textId="3830BC93"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4</w:t>
      </w:r>
      <w:r w:rsidR="002B5DBA" w:rsidRPr="00C243CD">
        <w:rPr>
          <w:rFonts w:ascii="Cambria" w:hAnsi="Cambria"/>
          <w:lang w:val="en-GB"/>
        </w:rPr>
        <w:t xml:space="preserve">0 - </w:t>
      </w:r>
      <w:r w:rsidR="00E616B6" w:rsidRPr="00E616B6">
        <w:rPr>
          <w:rFonts w:ascii="Cambria" w:hAnsi="Cambria"/>
          <w:lang w:val="en-GB"/>
        </w:rPr>
        <w:t>Identifier of Guaranteeing Entity (preferably LEI)</w:t>
      </w:r>
    </w:p>
    <w:p w14:paraId="37FF9ABE" w14:textId="77777777" w:rsidR="00E54726" w:rsidRPr="00C243CD" w:rsidRDefault="00E54726" w:rsidP="00E54726">
      <w:pPr>
        <w:rPr>
          <w:rFonts w:ascii="Cambria" w:hAnsi="Cambria"/>
          <w:lang w:val="en-GB"/>
        </w:rPr>
      </w:pPr>
      <w:r w:rsidRPr="00C243CD">
        <w:rPr>
          <w:rFonts w:ascii="Cambria" w:hAnsi="Cambria"/>
          <w:lang w:val="en-GB"/>
        </w:rPr>
        <w:t xml:space="preserve">The unique LEI code for the guaranteeing entity, in line with requirements by EMIR or Dodd-Frank, for which the report is submitted. In the absence of a LEI, the </w:t>
      </w:r>
      <w:r w:rsidRPr="00C243CD">
        <w:rPr>
          <w:rFonts w:ascii="Cambria" w:hAnsi="Cambria"/>
          <w:szCs w:val="20"/>
          <w:lang w:val="en-GB" w:eastAsia="en-GB"/>
        </w:rPr>
        <w:t>ECB Monetary Financial Institutions unique IDentifier (MFI ID) of the credit institution for use in RIAD should be used. In absence of both such identifiers exclusively, the internal identifier can be used.</w:t>
      </w:r>
    </w:p>
    <w:p w14:paraId="0A027F14" w14:textId="4942B821" w:rsidR="00DD7134" w:rsidRDefault="00DD7134" w:rsidP="00DD7134">
      <w:pPr>
        <w:rPr>
          <w:rFonts w:ascii="Cambria" w:eastAsiaTheme="majorEastAsia" w:hAnsi="Cambria" w:cstheme="majorBidi"/>
          <w:i/>
          <w:iCs/>
          <w:color w:val="2E74B5" w:themeColor="accent1" w:themeShade="BF"/>
          <w:lang w:val="en-GB"/>
        </w:rPr>
      </w:pPr>
      <w:r>
        <w:rPr>
          <w:rFonts w:ascii="Cambria" w:eastAsiaTheme="majorEastAsia" w:hAnsi="Cambria" w:cstheme="majorBidi"/>
          <w:i/>
          <w:iCs/>
          <w:color w:val="2E74B5" w:themeColor="accent1" w:themeShade="BF"/>
          <w:lang w:val="en-GB"/>
        </w:rPr>
        <w:t>c</w:t>
      </w:r>
      <w:r w:rsidRPr="00047E4D">
        <w:rPr>
          <w:rFonts w:ascii="Cambria" w:eastAsiaTheme="majorEastAsia" w:hAnsi="Cambria" w:cstheme="majorBidi"/>
          <w:i/>
          <w:iCs/>
          <w:color w:val="2E74B5" w:themeColor="accent1" w:themeShade="BF"/>
          <w:lang w:val="en-GB"/>
        </w:rPr>
        <w:t>00</w:t>
      </w:r>
      <w:r>
        <w:rPr>
          <w:rFonts w:ascii="Cambria" w:eastAsiaTheme="majorEastAsia" w:hAnsi="Cambria" w:cstheme="majorBidi"/>
          <w:i/>
          <w:iCs/>
          <w:color w:val="2E74B5" w:themeColor="accent1" w:themeShade="BF"/>
          <w:lang w:val="en-GB"/>
        </w:rPr>
        <w:t>45</w:t>
      </w:r>
      <w:r w:rsidRPr="00047E4D">
        <w:rPr>
          <w:rFonts w:ascii="Cambria" w:eastAsiaTheme="majorEastAsia" w:hAnsi="Cambria" w:cstheme="majorBidi"/>
          <w:i/>
          <w:iCs/>
          <w:color w:val="2E74B5" w:themeColor="accent1" w:themeShade="BF"/>
          <w:lang w:val="en-GB"/>
        </w:rPr>
        <w:t xml:space="preserve"> –Type of Identifier</w:t>
      </w:r>
    </w:p>
    <w:p w14:paraId="275FC6D0" w14:textId="7B6EF35A" w:rsidR="003D6B3C" w:rsidRDefault="003D6B3C" w:rsidP="003D6B3C">
      <w:pPr>
        <w:rPr>
          <w:rFonts w:ascii="Cambria" w:hAnsi="Cambria"/>
          <w:lang w:val="en-GB"/>
        </w:rPr>
      </w:pPr>
      <w:r>
        <w:rPr>
          <w:rFonts w:ascii="Cambria" w:hAnsi="Cambria"/>
          <w:lang w:val="en-GB"/>
        </w:rPr>
        <w:t>To be chosen among the following options</w:t>
      </w:r>
      <w:r w:rsidRPr="003D6B3C">
        <w:rPr>
          <w:rFonts w:ascii="Cambria" w:hAnsi="Cambria"/>
          <w:lang w:val="en-GB"/>
        </w:rPr>
        <w:t>: “LEI code”, “MFI code” or “Type of identifier, other than LEI or MFI code”.</w:t>
      </w:r>
    </w:p>
    <w:p w14:paraId="3C31703D" w14:textId="45AA95A7" w:rsidR="005C7220" w:rsidRDefault="005C7220" w:rsidP="005C7220">
      <w:pPr>
        <w:pStyle w:val="Heading4"/>
        <w:rPr>
          <w:rFonts w:ascii="Cambria" w:hAnsi="Cambria"/>
          <w:lang w:val="en-GB"/>
        </w:rPr>
      </w:pPr>
      <w:r>
        <w:rPr>
          <w:rFonts w:ascii="Cambria" w:hAnsi="Cambria"/>
          <w:lang w:val="en-GB"/>
        </w:rPr>
        <w:t xml:space="preserve">c0047 - </w:t>
      </w:r>
      <w:r w:rsidRPr="00A21F57">
        <w:rPr>
          <w:rFonts w:ascii="Cambria" w:hAnsi="Cambria"/>
          <w:lang w:val="en-GB"/>
        </w:rPr>
        <w:t xml:space="preserve">Is </w:t>
      </w:r>
      <w:r>
        <w:rPr>
          <w:rFonts w:ascii="Cambria" w:hAnsi="Cambria"/>
          <w:lang w:val="en-GB"/>
        </w:rPr>
        <w:t>the Guaranteeing</w:t>
      </w:r>
      <w:r w:rsidRPr="00A21F57">
        <w:rPr>
          <w:rFonts w:ascii="Cambria" w:hAnsi="Cambria"/>
          <w:lang w:val="en-GB"/>
        </w:rPr>
        <w:t xml:space="preserve"> </w:t>
      </w:r>
      <w:r>
        <w:rPr>
          <w:rFonts w:ascii="Cambria" w:hAnsi="Cambria"/>
          <w:lang w:val="en-GB"/>
        </w:rPr>
        <w:t>E</w:t>
      </w:r>
      <w:r w:rsidRPr="00A21F57">
        <w:rPr>
          <w:rFonts w:ascii="Cambria" w:hAnsi="Cambria"/>
          <w:lang w:val="en-GB"/>
        </w:rPr>
        <w:t>ntity included in the Resolution Group of Reporting Entity?</w:t>
      </w:r>
    </w:p>
    <w:p w14:paraId="6A7AC7F1" w14:textId="7A499D55" w:rsidR="005C7220" w:rsidRPr="003D6B3C" w:rsidRDefault="005C7220" w:rsidP="003D6B3C">
      <w:pPr>
        <w:rPr>
          <w:rFonts w:ascii="Cambria" w:hAnsi="Cambria"/>
          <w:lang w:val="en-GB"/>
        </w:rPr>
      </w:pPr>
      <w:r>
        <w:rPr>
          <w:rFonts w:ascii="Cambria" w:hAnsi="Cambria"/>
          <w:lang w:val="en-GB"/>
        </w:rPr>
        <w:t>To be chosen among the following options</w:t>
      </w:r>
      <w:r w:rsidRPr="003D6B3C">
        <w:rPr>
          <w:rFonts w:ascii="Cambria" w:hAnsi="Cambria"/>
          <w:lang w:val="en-GB"/>
        </w:rPr>
        <w:t>: “</w:t>
      </w:r>
      <w:r w:rsidR="00CC5963">
        <w:rPr>
          <w:rFonts w:ascii="Cambria" w:hAnsi="Cambria"/>
          <w:lang w:val="en-GB"/>
        </w:rPr>
        <w:t>t</w:t>
      </w:r>
      <w:r w:rsidR="00731B2D">
        <w:rPr>
          <w:rFonts w:ascii="Cambria" w:hAnsi="Cambria"/>
          <w:lang w:val="en-GB"/>
        </w:rPr>
        <w:t>rue</w:t>
      </w:r>
      <w:r>
        <w:rPr>
          <w:rFonts w:ascii="Cambria" w:hAnsi="Cambria"/>
          <w:lang w:val="en-GB"/>
        </w:rPr>
        <w:t>”, or “</w:t>
      </w:r>
      <w:r w:rsidR="00CC5963">
        <w:rPr>
          <w:rFonts w:ascii="Cambria" w:hAnsi="Cambria"/>
          <w:lang w:val="en-GB"/>
        </w:rPr>
        <w:t>f</w:t>
      </w:r>
      <w:r w:rsidR="00731B2D">
        <w:rPr>
          <w:rFonts w:ascii="Cambria" w:hAnsi="Cambria"/>
          <w:lang w:val="en-GB"/>
        </w:rPr>
        <w:t>alse</w:t>
      </w:r>
      <w:r>
        <w:rPr>
          <w:rFonts w:ascii="Cambria" w:hAnsi="Cambria"/>
          <w:lang w:val="en-GB"/>
        </w:rPr>
        <w:t>”.</w:t>
      </w:r>
    </w:p>
    <w:p w14:paraId="63E03A98" w14:textId="194BB0DE" w:rsidR="002B5DBA" w:rsidRPr="00C243CD" w:rsidRDefault="003D6B3C" w:rsidP="003D6B3C">
      <w:pPr>
        <w:pStyle w:val="Heading4"/>
        <w:rPr>
          <w:rFonts w:ascii="Cambria" w:hAnsi="Cambria"/>
          <w:lang w:val="en-GB"/>
        </w:rPr>
      </w:pPr>
      <w:r w:rsidRPr="00C243CD">
        <w:rPr>
          <w:rFonts w:ascii="Cambria" w:hAnsi="Cambria"/>
          <w:lang w:val="en-GB"/>
        </w:rPr>
        <w:t xml:space="preserve"> </w:t>
      </w:r>
      <w:r w:rsidR="00DA3A5D" w:rsidRPr="00C243CD">
        <w:rPr>
          <w:rFonts w:ascii="Cambria" w:hAnsi="Cambria"/>
          <w:lang w:val="en-GB"/>
        </w:rPr>
        <w:t>c00</w:t>
      </w:r>
      <w:r w:rsidR="004F470B" w:rsidRPr="00C243CD">
        <w:rPr>
          <w:rFonts w:ascii="Cambria" w:hAnsi="Cambria"/>
          <w:lang w:val="en-GB"/>
        </w:rPr>
        <w:t>5</w:t>
      </w:r>
      <w:r w:rsidR="002B5DBA" w:rsidRPr="00C243CD">
        <w:rPr>
          <w:rFonts w:ascii="Cambria" w:hAnsi="Cambria"/>
          <w:lang w:val="en-GB"/>
        </w:rPr>
        <w:t>0 - Governing Law</w:t>
      </w:r>
    </w:p>
    <w:p w14:paraId="2C34D5AD" w14:textId="15B47E8F" w:rsidR="002B5DBA" w:rsidRPr="00C243CD" w:rsidRDefault="002B5DBA" w:rsidP="009474F1">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t>
      </w:r>
      <w:r w:rsidR="00F64A95" w:rsidRPr="00C243CD">
        <w:rPr>
          <w:rFonts w:ascii="Cambria" w:hAnsi="Cambria"/>
          <w:lang w:val="en-GB"/>
        </w:rPr>
        <w:t>whose</w:t>
      </w:r>
      <w:r w:rsidRPr="00C243CD">
        <w:rPr>
          <w:rFonts w:ascii="Cambria" w:hAnsi="Cambria"/>
          <w:lang w:val="en-GB"/>
        </w:rPr>
        <w:t xml:space="preserve"> law governs the instrument.</w:t>
      </w:r>
    </w:p>
    <w:p w14:paraId="01F61C60" w14:textId="5E3EFF46" w:rsidR="00FB02CE"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6</w:t>
      </w:r>
      <w:r w:rsidR="00FB02CE" w:rsidRPr="00C243CD">
        <w:rPr>
          <w:rFonts w:ascii="Cambria" w:hAnsi="Cambria"/>
          <w:lang w:val="en-GB"/>
        </w:rPr>
        <w:t>0 - Guarantee Type</w:t>
      </w:r>
    </w:p>
    <w:p w14:paraId="59AB5023" w14:textId="77777777" w:rsidR="00E96D92" w:rsidRPr="00C243CD" w:rsidRDefault="00FB02CE" w:rsidP="00FB02CE">
      <w:pPr>
        <w:rPr>
          <w:rFonts w:ascii="Cambria" w:hAnsi="Cambria"/>
          <w:lang w:val="en-GB"/>
        </w:rPr>
      </w:pPr>
      <w:r w:rsidRPr="00C243CD">
        <w:rPr>
          <w:rFonts w:ascii="Cambria" w:hAnsi="Cambria"/>
          <w:lang w:val="en-GB"/>
        </w:rPr>
        <w:t>The type of guarantee</w:t>
      </w:r>
      <w:r w:rsidR="00E96D92" w:rsidRPr="00C243CD">
        <w:rPr>
          <w:rFonts w:ascii="Cambria" w:hAnsi="Cambria"/>
          <w:lang w:val="en-GB"/>
        </w:rPr>
        <w:t xml:space="preserve"> from a predefined list</w:t>
      </w:r>
      <w:r w:rsidRPr="00C243CD">
        <w:rPr>
          <w:rFonts w:ascii="Cambria" w:hAnsi="Cambria"/>
          <w:lang w:val="en-GB"/>
        </w:rPr>
        <w:t>, either</w:t>
      </w:r>
      <w:r w:rsidR="00E96D92" w:rsidRPr="00C243CD">
        <w:rPr>
          <w:rFonts w:ascii="Cambria" w:hAnsi="Cambria"/>
          <w:lang w:val="en-GB"/>
        </w:rPr>
        <w:t>:</w:t>
      </w:r>
    </w:p>
    <w:p w14:paraId="1C2E3093" w14:textId="77777777" w:rsidR="000F0241" w:rsidRPr="00C243CD" w:rsidRDefault="00FB02CE" w:rsidP="00E96D92">
      <w:pPr>
        <w:pStyle w:val="ListParagraph"/>
        <w:numPr>
          <w:ilvl w:val="0"/>
          <w:numId w:val="21"/>
        </w:numPr>
        <w:rPr>
          <w:sz w:val="20"/>
          <w:lang w:val="en-GB"/>
        </w:rPr>
      </w:pPr>
      <w:r w:rsidRPr="00C243CD">
        <w:rPr>
          <w:sz w:val="20"/>
          <w:lang w:val="en-GB"/>
        </w:rPr>
        <w:t>‘Issuance’</w:t>
      </w:r>
      <w:r w:rsidR="000F0241" w:rsidRPr="00C243CD">
        <w:rPr>
          <w:sz w:val="20"/>
          <w:lang w:val="en-GB"/>
        </w:rPr>
        <w:t xml:space="preserve"> for guarantees on specific instruments/liabilities that have been issued;</w:t>
      </w:r>
    </w:p>
    <w:p w14:paraId="330A4A6D" w14:textId="77777777" w:rsidR="000F0241" w:rsidRPr="00C243CD" w:rsidRDefault="00FB02CE" w:rsidP="00E96D92">
      <w:pPr>
        <w:pStyle w:val="ListParagraph"/>
        <w:numPr>
          <w:ilvl w:val="0"/>
          <w:numId w:val="21"/>
        </w:numPr>
        <w:rPr>
          <w:sz w:val="20"/>
          <w:lang w:val="en-GB"/>
        </w:rPr>
      </w:pPr>
      <w:r w:rsidRPr="00C243CD">
        <w:rPr>
          <w:sz w:val="20"/>
          <w:lang w:val="en-GB"/>
        </w:rPr>
        <w:t>‘Counterparty’</w:t>
      </w:r>
      <w:r w:rsidR="000F0241" w:rsidRPr="00C243CD">
        <w:rPr>
          <w:sz w:val="20"/>
          <w:lang w:val="en-GB"/>
        </w:rPr>
        <w:t xml:space="preserve"> for guarantees granted to a specific counterparty of the institution;</w:t>
      </w:r>
    </w:p>
    <w:p w14:paraId="2CD5F4F7" w14:textId="77777777" w:rsidR="000F0241" w:rsidRPr="00C243CD" w:rsidRDefault="00FB02CE" w:rsidP="00E96D92">
      <w:pPr>
        <w:pStyle w:val="ListParagraph"/>
        <w:numPr>
          <w:ilvl w:val="0"/>
          <w:numId w:val="21"/>
        </w:numPr>
        <w:rPr>
          <w:sz w:val="20"/>
          <w:lang w:val="en-GB"/>
        </w:rPr>
      </w:pPr>
      <w:r w:rsidRPr="00C243CD">
        <w:rPr>
          <w:sz w:val="20"/>
          <w:lang w:val="en-GB"/>
        </w:rPr>
        <w:t>‘Unlimited</w:t>
      </w:r>
      <w:r w:rsidR="000F0241" w:rsidRPr="00C243CD">
        <w:rPr>
          <w:sz w:val="20"/>
          <w:lang w:val="en-GB"/>
        </w:rPr>
        <w:t>’ for general guarantees not limited to a fixed amount;</w:t>
      </w:r>
    </w:p>
    <w:p w14:paraId="27237881" w14:textId="77777777" w:rsidR="00FB02CE" w:rsidRPr="00C243CD" w:rsidRDefault="00FB02CE" w:rsidP="00E96D92">
      <w:pPr>
        <w:pStyle w:val="ListParagraph"/>
        <w:numPr>
          <w:ilvl w:val="0"/>
          <w:numId w:val="21"/>
        </w:numPr>
        <w:rPr>
          <w:sz w:val="20"/>
          <w:lang w:val="en-GB"/>
        </w:rPr>
      </w:pPr>
      <w:r w:rsidRPr="00C243CD">
        <w:rPr>
          <w:sz w:val="20"/>
          <w:lang w:val="en-GB"/>
        </w:rPr>
        <w:t xml:space="preserve">‘Other’ </w:t>
      </w:r>
      <w:r w:rsidR="000F0241" w:rsidRPr="00C243CD">
        <w:rPr>
          <w:sz w:val="20"/>
          <w:lang w:val="en-GB"/>
        </w:rPr>
        <w:t>for any type of guarantee not covered by the previous types.</w:t>
      </w:r>
    </w:p>
    <w:p w14:paraId="16D2BF5D" w14:textId="1AECF5B5"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7</w:t>
      </w:r>
      <w:r w:rsidR="002B5DBA" w:rsidRPr="00C243CD">
        <w:rPr>
          <w:rFonts w:ascii="Cambria" w:hAnsi="Cambria"/>
          <w:lang w:val="en-GB"/>
        </w:rPr>
        <w:t>0 - Pote</w:t>
      </w:r>
      <w:r w:rsidR="00FB02CE" w:rsidRPr="00C243CD">
        <w:rPr>
          <w:rFonts w:ascii="Cambria" w:hAnsi="Cambria"/>
          <w:lang w:val="en-GB"/>
        </w:rPr>
        <w:t>ntial Maximum Guaranteed Amount</w:t>
      </w:r>
    </w:p>
    <w:p w14:paraId="2E0405BD" w14:textId="77777777" w:rsidR="002B5DBA" w:rsidRPr="00C243CD" w:rsidRDefault="002B5DBA" w:rsidP="009474F1">
      <w:pPr>
        <w:rPr>
          <w:rFonts w:ascii="Cambria" w:hAnsi="Cambria"/>
          <w:lang w:val="en-GB"/>
        </w:rPr>
      </w:pPr>
      <w:r w:rsidRPr="00C243CD">
        <w:rPr>
          <w:rFonts w:ascii="Cambria" w:hAnsi="Cambria"/>
          <w:lang w:val="en-GB"/>
        </w:rPr>
        <w:t>The EUR (counter) value of the maximum amount (if any) covered by the guarantee/financial support arrangement.</w:t>
      </w:r>
    </w:p>
    <w:p w14:paraId="6B5CEAEA" w14:textId="4627FAED"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8</w:t>
      </w:r>
      <w:r w:rsidR="002B5DBA" w:rsidRPr="00C243CD">
        <w:rPr>
          <w:rFonts w:ascii="Cambria" w:hAnsi="Cambria"/>
          <w:lang w:val="en-GB"/>
        </w:rPr>
        <w:t>0 - Collateralised</w:t>
      </w:r>
    </w:p>
    <w:p w14:paraId="66AD093E" w14:textId="77777777" w:rsidR="002B5DBA" w:rsidRPr="00C243CD" w:rsidRDefault="002B5DBA" w:rsidP="009474F1">
      <w:pPr>
        <w:rPr>
          <w:rFonts w:ascii="Cambria" w:hAnsi="Cambria"/>
          <w:lang w:val="en-GB"/>
        </w:rPr>
      </w:pPr>
      <w:r w:rsidRPr="00C243CD">
        <w:rPr>
          <w:rFonts w:ascii="Cambria" w:hAnsi="Cambria"/>
          <w:lang w:val="en-GB"/>
        </w:rPr>
        <w:t>Please indicate if some kind of collateral is provided to support the guarantee/financial support arrangement</w:t>
      </w:r>
      <w:r w:rsidR="00FB02CE" w:rsidRPr="00C243CD">
        <w:rPr>
          <w:rFonts w:ascii="Cambria" w:hAnsi="Cambria"/>
          <w:lang w:val="en-GB"/>
        </w:rPr>
        <w:t>, either ‘Yes’ or ‘No’ from a predefined list</w:t>
      </w:r>
      <w:r w:rsidRPr="00C243CD">
        <w:rPr>
          <w:rFonts w:ascii="Cambria" w:hAnsi="Cambria"/>
          <w:lang w:val="en-GB"/>
        </w:rPr>
        <w:t>.</w:t>
      </w:r>
    </w:p>
    <w:p w14:paraId="174881A4" w14:textId="4A4C076D"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9</w:t>
      </w:r>
      <w:r w:rsidR="002B5DBA" w:rsidRPr="00C243CD">
        <w:rPr>
          <w:rFonts w:ascii="Cambria" w:hAnsi="Cambria"/>
          <w:lang w:val="en-GB"/>
        </w:rPr>
        <w:t>0 - Amount of collateral provided</w:t>
      </w:r>
    </w:p>
    <w:p w14:paraId="53A23C8E" w14:textId="77777777" w:rsidR="002B5DBA" w:rsidRPr="00C243CD" w:rsidRDefault="002B5DBA" w:rsidP="009474F1">
      <w:pPr>
        <w:rPr>
          <w:rFonts w:ascii="Cambria" w:hAnsi="Cambria"/>
          <w:lang w:val="en-GB"/>
        </w:rPr>
      </w:pPr>
      <w:r w:rsidRPr="00C243CD">
        <w:rPr>
          <w:rFonts w:ascii="Cambria" w:hAnsi="Cambria"/>
          <w:lang w:val="en-GB"/>
        </w:rPr>
        <w:t>If collateralised, the amount of collateral provided should be indicated, net of valuation adjustments and haircuts.</w:t>
      </w:r>
    </w:p>
    <w:p w14:paraId="11F9F479" w14:textId="31D409DB" w:rsidR="002B5DBA" w:rsidRPr="00C243CD" w:rsidRDefault="00DA3A5D" w:rsidP="009474F1">
      <w:pPr>
        <w:pStyle w:val="Heading4"/>
        <w:rPr>
          <w:rFonts w:ascii="Cambria" w:hAnsi="Cambria"/>
          <w:lang w:val="en-GB"/>
        </w:rPr>
      </w:pPr>
      <w:r w:rsidRPr="00C243CD">
        <w:rPr>
          <w:rFonts w:ascii="Cambria" w:hAnsi="Cambria"/>
          <w:lang w:val="en-GB"/>
        </w:rPr>
        <w:t>c01</w:t>
      </w:r>
      <w:r w:rsidR="004F470B" w:rsidRPr="00C243CD">
        <w:rPr>
          <w:rFonts w:ascii="Cambria" w:hAnsi="Cambria"/>
          <w:lang w:val="en-GB"/>
        </w:rPr>
        <w:t>0</w:t>
      </w:r>
      <w:r w:rsidR="002B5DBA" w:rsidRPr="00C243CD">
        <w:rPr>
          <w:rFonts w:ascii="Cambria" w:hAnsi="Cambria"/>
          <w:lang w:val="en-GB"/>
        </w:rPr>
        <w:t xml:space="preserve">0 - </w:t>
      </w:r>
      <w:r w:rsidR="00FB02CE" w:rsidRPr="00C243CD">
        <w:rPr>
          <w:rFonts w:ascii="Cambria" w:hAnsi="Cambria"/>
          <w:lang w:val="en-GB"/>
        </w:rPr>
        <w:t>G</w:t>
      </w:r>
      <w:r w:rsidR="002B5DBA" w:rsidRPr="00C243CD">
        <w:rPr>
          <w:rFonts w:ascii="Cambria" w:hAnsi="Cambria"/>
          <w:lang w:val="en-GB"/>
        </w:rPr>
        <w:t xml:space="preserve">uarantee </w:t>
      </w:r>
      <w:r w:rsidR="00FB02CE" w:rsidRPr="00C243CD">
        <w:rPr>
          <w:rFonts w:ascii="Cambria" w:hAnsi="Cambria"/>
          <w:lang w:val="en-GB"/>
        </w:rPr>
        <w:t>Trigger</w:t>
      </w:r>
    </w:p>
    <w:p w14:paraId="20A55939" w14:textId="3F1E3DAF" w:rsidR="00FD1D7E" w:rsidRPr="00C243CD" w:rsidRDefault="002B5DBA" w:rsidP="002C7143">
      <w:pPr>
        <w:rPr>
          <w:rFonts w:ascii="Cambria" w:hAnsi="Cambria"/>
          <w:lang w:val="en-GB"/>
        </w:rPr>
      </w:pPr>
      <w:r w:rsidRPr="00C243CD">
        <w:rPr>
          <w:rFonts w:ascii="Cambria" w:hAnsi="Cambria"/>
          <w:lang w:val="en-GB"/>
        </w:rPr>
        <w:t xml:space="preserve">Provide </w:t>
      </w:r>
      <w:r w:rsidR="00FB02CE" w:rsidRPr="00C243CD">
        <w:rPr>
          <w:rFonts w:ascii="Cambria" w:hAnsi="Cambria"/>
          <w:lang w:val="en-GB"/>
        </w:rPr>
        <w:t xml:space="preserve">the type </w:t>
      </w:r>
      <w:r w:rsidRPr="00C243CD">
        <w:rPr>
          <w:rFonts w:ascii="Cambria" w:hAnsi="Cambria"/>
          <w:lang w:val="en-GB"/>
        </w:rPr>
        <w:t>of event triggering the activation of the guarantee/financial support, i.e. the event enabling the right for the counterparty to execute the guarantee</w:t>
      </w:r>
      <w:r w:rsidR="00FB02CE" w:rsidRPr="00C243CD">
        <w:rPr>
          <w:rFonts w:ascii="Cambria" w:hAnsi="Cambria"/>
          <w:lang w:val="en-GB"/>
        </w:rPr>
        <w:t>, either ‘Default’, ‘Solvency-related’, Liquidity-related’ or ‘Other’ from a predefined list</w:t>
      </w:r>
      <w:r w:rsidRPr="00C243CD">
        <w:rPr>
          <w:rFonts w:ascii="Cambria" w:hAnsi="Cambria"/>
          <w:lang w:val="en-GB"/>
        </w:rPr>
        <w:t>.</w:t>
      </w:r>
    </w:p>
    <w:p w14:paraId="746879C9" w14:textId="77777777" w:rsidR="00C15DAB" w:rsidRPr="00C243CD" w:rsidRDefault="00C15DAB">
      <w:pPr>
        <w:spacing w:after="160" w:line="259" w:lineRule="auto"/>
        <w:jc w:val="left"/>
        <w:rPr>
          <w:rFonts w:ascii="Cambria" w:hAnsi="Cambria"/>
          <w:lang w:val="en-GB"/>
        </w:rPr>
        <w:sectPr w:rsidR="00C15DAB" w:rsidRPr="00C243CD" w:rsidSect="00AC044E">
          <w:pgSz w:w="11906" w:h="16838"/>
          <w:pgMar w:top="2552" w:right="1440" w:bottom="1440" w:left="1440" w:header="708" w:footer="708" w:gutter="0"/>
          <w:cols w:space="708"/>
          <w:titlePg/>
          <w:docGrid w:linePitch="360"/>
        </w:sectPr>
      </w:pPr>
    </w:p>
    <w:p w14:paraId="6715145F" w14:textId="77777777" w:rsidR="00540870" w:rsidRPr="00C243CD" w:rsidRDefault="00C15DAB">
      <w:pPr>
        <w:spacing w:after="160" w:line="259" w:lineRule="auto"/>
        <w:jc w:val="left"/>
        <w:rPr>
          <w:rFonts w:ascii="Cambria" w:eastAsiaTheme="majorEastAsia" w:hAnsi="Cambria" w:cstheme="majorBidi"/>
          <w:sz w:val="24"/>
          <w:szCs w:val="24"/>
          <w:u w:val="single"/>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49" behindDoc="0" locked="0" layoutInCell="1" allowOverlap="1" wp14:anchorId="35B7509D" wp14:editId="549C6795">
                <wp:simplePos x="0" y="0"/>
                <wp:positionH relativeFrom="page">
                  <wp:align>center</wp:align>
                </wp:positionH>
                <wp:positionV relativeFrom="paragraph">
                  <wp:posOffset>564542</wp:posOffset>
                </wp:positionV>
                <wp:extent cx="9764202" cy="5959475"/>
                <wp:effectExtent l="0" t="0" r="27940" b="15875"/>
                <wp:wrapNone/>
                <wp:docPr id="30" name="Text Box 30"/>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0AD2B" w14:textId="77777777" w:rsidR="002D45CF" w:rsidRPr="00164809" w:rsidRDefault="002D45CF" w:rsidP="00C15DAB">
                            <w:pPr>
                              <w:rPr>
                                <w:b/>
                                <w:lang w:val="en-GB"/>
                              </w:rPr>
                            </w:pPr>
                            <w:r>
                              <w:rPr>
                                <w:b/>
                                <w:lang w:val="en-GB"/>
                              </w:rPr>
                              <w:t>Simplified e</w:t>
                            </w:r>
                            <w:r w:rsidRPr="00164809">
                              <w:rPr>
                                <w:b/>
                                <w:lang w:val="en-GB"/>
                              </w:rPr>
                              <w:t>xample</w:t>
                            </w:r>
                          </w:p>
                          <w:p w14:paraId="3A4022F6" w14:textId="77777777" w:rsidR="002D45CF" w:rsidRPr="00164809" w:rsidRDefault="002D45CF" w:rsidP="00C15DAB">
                            <w:pPr>
                              <w:rPr>
                                <w:lang w:val="en-GB"/>
                              </w:rPr>
                            </w:pPr>
                          </w:p>
                          <w:p w14:paraId="498A1720" w14:textId="77777777" w:rsidR="002D45CF" w:rsidRDefault="002D45CF" w:rsidP="00C15DAB">
                            <w:pPr>
                              <w:rPr>
                                <w:lang w:val="en-GB"/>
                              </w:rPr>
                            </w:pPr>
                            <w:r>
                              <w:rPr>
                                <w:lang w:val="en-GB"/>
                              </w:rPr>
                              <w:t>An institution has issued a bond of EUR 500 million for which the capital has been guaranteed to the creditors by the parent</w:t>
                            </w:r>
                            <w:r w:rsidRPr="00247671">
                              <w:rPr>
                                <w:lang w:val="en-GB"/>
                              </w:rPr>
                              <w:t>.</w:t>
                            </w:r>
                            <w:r>
                              <w:rPr>
                                <w:lang w:val="en-GB"/>
                              </w:rPr>
                              <w:t xml:space="preserve"> The bond itself has an insolvency ranking of 6 and, upon exercising the guarantee when the reporting entity defaults on repayment, the parent is subrogated in the rights of the creditor.</w:t>
                            </w:r>
                          </w:p>
                          <w:p w14:paraId="51A605B5" w14:textId="77777777" w:rsidR="002D45CF" w:rsidRDefault="002D45CF" w:rsidP="00C15DAB">
                            <w:pPr>
                              <w:rPr>
                                <w:lang w:val="en-GB"/>
                              </w:rPr>
                            </w:pPr>
                          </w:p>
                          <w:p w14:paraId="6935DDD9" w14:textId="77777777" w:rsidR="002D45CF" w:rsidRDefault="002D45CF" w:rsidP="00C15DAB">
                            <w:pPr>
                              <w:rPr>
                                <w:lang w:val="en-GB"/>
                              </w:rPr>
                            </w:pPr>
                            <w:r>
                              <w:rPr>
                                <w:lang w:val="en-GB"/>
                              </w:rPr>
                              <w:t>Besides the reporting of this bond in a detailed tab (either T04.00 or T06.00), the institution reports the following guarantee received in T03.02:</w:t>
                            </w:r>
                          </w:p>
                          <w:p w14:paraId="528CB9A7" w14:textId="77777777" w:rsidR="002D45CF" w:rsidRDefault="002D45CF" w:rsidP="00C15DAB">
                            <w:pPr>
                              <w:rPr>
                                <w:lang w:val="en-GB"/>
                              </w:rPr>
                            </w:pPr>
                          </w:p>
                          <w:p w14:paraId="1B27729A" w14:textId="6FE9B17E" w:rsidR="002D45CF" w:rsidRPr="00164809" w:rsidRDefault="0046120E" w:rsidP="00C15DAB">
                            <w:pPr>
                              <w:rPr>
                                <w:lang w:val="en-GB"/>
                              </w:rPr>
                            </w:pPr>
                            <w:r w:rsidRPr="0046120E">
                              <w:drawing>
                                <wp:inline distT="0" distB="0" distL="0" distR="0" wp14:anchorId="734B2EAC" wp14:editId="79C1FCBF">
                                  <wp:extent cx="9484877" cy="1746914"/>
                                  <wp:effectExtent l="0" t="0" r="254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3102" cy="17539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B7509D" id="Text Box 30" o:spid="_x0000_s1028" type="#_x0000_t202" style="position:absolute;margin-left:0;margin-top:44.45pt;width:768.85pt;height:469.25pt;z-index:25165824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" fillcolor="white [3201]" strokeweight=".5pt">
                <v:textbox style="mso-fit-shape-to-text:t">
                  <w:txbxContent>
                    <w:p w14:paraId="4640AD2B" w14:textId="77777777" w:rsidR="002D45CF" w:rsidRPr="00164809" w:rsidRDefault="002D45CF" w:rsidP="00C15DAB">
                      <w:pPr>
                        <w:rPr>
                          <w:b/>
                          <w:lang w:val="en-GB"/>
                        </w:rPr>
                      </w:pPr>
                      <w:r>
                        <w:rPr>
                          <w:b/>
                          <w:lang w:val="en-GB"/>
                        </w:rPr>
                        <w:t>Simplified e</w:t>
                      </w:r>
                      <w:r w:rsidRPr="00164809">
                        <w:rPr>
                          <w:b/>
                          <w:lang w:val="en-GB"/>
                        </w:rPr>
                        <w:t>xample</w:t>
                      </w:r>
                    </w:p>
                    <w:p w14:paraId="3A4022F6" w14:textId="77777777" w:rsidR="002D45CF" w:rsidRPr="00164809" w:rsidRDefault="002D45CF" w:rsidP="00C15DAB">
                      <w:pPr>
                        <w:rPr>
                          <w:lang w:val="en-GB"/>
                        </w:rPr>
                      </w:pPr>
                    </w:p>
                    <w:p w14:paraId="498A1720" w14:textId="77777777" w:rsidR="002D45CF" w:rsidRDefault="002D45CF" w:rsidP="00C15DAB">
                      <w:pPr>
                        <w:rPr>
                          <w:lang w:val="en-GB"/>
                        </w:rPr>
                      </w:pPr>
                      <w:r>
                        <w:rPr>
                          <w:lang w:val="en-GB"/>
                        </w:rPr>
                        <w:t>An institution has issued a bond of EUR 500 million for which the capital has been guaranteed to the creditors by the parent</w:t>
                      </w:r>
                      <w:r w:rsidRPr="00247671">
                        <w:rPr>
                          <w:lang w:val="en-GB"/>
                        </w:rPr>
                        <w:t>.</w:t>
                      </w:r>
                      <w:r>
                        <w:rPr>
                          <w:lang w:val="en-GB"/>
                        </w:rPr>
                        <w:t xml:space="preserve"> The bond itself has an insolvency ranking of 6 and, upon exercising the guarantee when the reporting entity defaults on repayment, the parent is subrogated in the rights of the creditor.</w:t>
                      </w:r>
                    </w:p>
                    <w:p w14:paraId="51A605B5" w14:textId="77777777" w:rsidR="002D45CF" w:rsidRDefault="002D45CF" w:rsidP="00C15DAB">
                      <w:pPr>
                        <w:rPr>
                          <w:lang w:val="en-GB"/>
                        </w:rPr>
                      </w:pPr>
                    </w:p>
                    <w:p w14:paraId="6935DDD9" w14:textId="77777777" w:rsidR="002D45CF" w:rsidRDefault="002D45CF" w:rsidP="00C15DAB">
                      <w:pPr>
                        <w:rPr>
                          <w:lang w:val="en-GB"/>
                        </w:rPr>
                      </w:pPr>
                      <w:r>
                        <w:rPr>
                          <w:lang w:val="en-GB"/>
                        </w:rPr>
                        <w:t>Besides the reporting of this bond in a detailed tab (either T04.00 or T06.00), the institution reports the following guarantee received in T03.02:</w:t>
                      </w:r>
                    </w:p>
                    <w:p w14:paraId="528CB9A7" w14:textId="77777777" w:rsidR="002D45CF" w:rsidRDefault="002D45CF" w:rsidP="00C15DAB">
                      <w:pPr>
                        <w:rPr>
                          <w:lang w:val="en-GB"/>
                        </w:rPr>
                      </w:pPr>
                    </w:p>
                    <w:p w14:paraId="1B27729A" w14:textId="6FE9B17E" w:rsidR="002D45CF" w:rsidRPr="00164809" w:rsidRDefault="0046120E" w:rsidP="00C15DAB">
                      <w:pPr>
                        <w:rPr>
                          <w:lang w:val="en-GB"/>
                        </w:rPr>
                      </w:pPr>
                      <w:r w:rsidRPr="0046120E">
                        <w:drawing>
                          <wp:inline distT="0" distB="0" distL="0" distR="0" wp14:anchorId="734B2EAC" wp14:editId="79C1FCBF">
                            <wp:extent cx="9484877" cy="1746914"/>
                            <wp:effectExtent l="0" t="0" r="254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3102" cy="1753954"/>
                                    </a:xfrm>
                                    <a:prstGeom prst="rect">
                                      <a:avLst/>
                                    </a:prstGeom>
                                    <a:noFill/>
                                    <a:ln>
                                      <a:noFill/>
                                    </a:ln>
                                  </pic:spPr>
                                </pic:pic>
                              </a:graphicData>
                            </a:graphic>
                          </wp:inline>
                        </w:drawing>
                      </w:r>
                    </w:p>
                  </w:txbxContent>
                </v:textbox>
                <w10:wrap anchorx="page"/>
              </v:shape>
            </w:pict>
          </mc:Fallback>
        </mc:AlternateContent>
      </w:r>
      <w:r w:rsidR="00540870" w:rsidRPr="00C243CD">
        <w:rPr>
          <w:rFonts w:ascii="Cambria" w:hAnsi="Cambria"/>
          <w:lang w:val="en-GB"/>
        </w:rPr>
        <w:br w:type="page"/>
      </w:r>
    </w:p>
    <w:p w14:paraId="2EBB6032" w14:textId="77777777" w:rsidR="00C15DAB" w:rsidRPr="00C243CD" w:rsidRDefault="00C15DAB" w:rsidP="00B27610">
      <w:pPr>
        <w:pStyle w:val="Heading3"/>
        <w:numPr>
          <w:ilvl w:val="0"/>
          <w:numId w:val="22"/>
        </w:numPr>
        <w:ind w:left="426" w:hanging="426"/>
        <w:rPr>
          <w:rFonts w:ascii="Cambria" w:hAnsi="Cambria"/>
          <w:lang w:val="en-GB"/>
        </w:rPr>
        <w:sectPr w:rsidR="00C15DAB" w:rsidRPr="00C243CD" w:rsidSect="00164809">
          <w:pgSz w:w="16838" w:h="11906" w:orient="landscape"/>
          <w:pgMar w:top="1440" w:right="2552" w:bottom="1440" w:left="1440" w:header="709" w:footer="709" w:gutter="0"/>
          <w:cols w:space="708"/>
          <w:titlePg/>
          <w:docGrid w:linePitch="360"/>
        </w:sectPr>
      </w:pPr>
    </w:p>
    <w:p w14:paraId="65663647" w14:textId="77777777" w:rsidR="002B5DBA" w:rsidRPr="00C243CD" w:rsidRDefault="002B5DBA" w:rsidP="00B27610">
      <w:pPr>
        <w:pStyle w:val="Heading3"/>
        <w:numPr>
          <w:ilvl w:val="0"/>
          <w:numId w:val="22"/>
        </w:numPr>
        <w:ind w:left="426" w:hanging="426"/>
        <w:rPr>
          <w:rFonts w:ascii="Cambria" w:hAnsi="Cambria"/>
          <w:lang w:val="en-GB"/>
        </w:rPr>
      </w:pPr>
      <w:bookmarkStart w:id="205" w:name="_Toc12973026"/>
      <w:bookmarkStart w:id="206" w:name="_Toc13755756"/>
      <w:r w:rsidRPr="00C243CD">
        <w:rPr>
          <w:rFonts w:ascii="Cambria" w:hAnsi="Cambria"/>
          <w:lang w:val="en-GB"/>
        </w:rPr>
        <w:lastRenderedPageBreak/>
        <w:t>T03.03</w:t>
      </w:r>
      <w:r w:rsidR="009202A4" w:rsidRPr="00C243CD">
        <w:rPr>
          <w:rFonts w:ascii="Cambria" w:hAnsi="Cambria"/>
          <w:lang w:val="en-GB"/>
        </w:rPr>
        <w:t xml:space="preserve"> - Intragroup Guarantees - Provided</w:t>
      </w:r>
      <w:bookmarkEnd w:id="205"/>
      <w:bookmarkEnd w:id="206"/>
    </w:p>
    <w:p w14:paraId="1D3D3303" w14:textId="77777777" w:rsidR="006C3BDB" w:rsidRPr="00C243CD" w:rsidRDefault="006C3BDB" w:rsidP="008E642F">
      <w:pPr>
        <w:rPr>
          <w:rFonts w:ascii="Cambria" w:hAnsi="Cambria"/>
          <w:lang w:val="en-GB"/>
        </w:rPr>
      </w:pPr>
      <w:r w:rsidRPr="00C243CD">
        <w:rPr>
          <w:rFonts w:ascii="Cambria" w:hAnsi="Cambria"/>
          <w:lang w:val="en-GB"/>
        </w:rPr>
        <w:t xml:space="preserve">This table shall include all types of </w:t>
      </w:r>
      <w:r w:rsidR="001A3B77" w:rsidRPr="00C243CD">
        <w:rPr>
          <w:rFonts w:ascii="Cambria" w:hAnsi="Cambria"/>
          <w:lang w:val="en-GB"/>
        </w:rPr>
        <w:t xml:space="preserve">financial </w:t>
      </w:r>
      <w:r w:rsidRPr="00C243CD">
        <w:rPr>
          <w:rFonts w:ascii="Cambria" w:hAnsi="Cambria"/>
          <w:lang w:val="en-GB"/>
        </w:rPr>
        <w:t xml:space="preserve">guarantees, either general or specific, that the reporting entity has provided to other entities within the accounting scope of consolidation of its </w:t>
      </w:r>
      <w:r w:rsidR="007A2597" w:rsidRPr="00C243CD">
        <w:rPr>
          <w:rFonts w:ascii="Cambria" w:hAnsi="Cambria"/>
          <w:lang w:val="en-GB"/>
        </w:rPr>
        <w:t>ultimate parent entity</w:t>
      </w:r>
      <w:r w:rsidRPr="00C243CD">
        <w:rPr>
          <w:rFonts w:ascii="Cambria" w:hAnsi="Cambria"/>
          <w:lang w:val="en-GB"/>
        </w:rPr>
        <w:t>.</w:t>
      </w:r>
    </w:p>
    <w:p w14:paraId="4FDABF2C" w14:textId="77777777" w:rsidR="005C174B" w:rsidRDefault="005C174B" w:rsidP="008E642F">
      <w:pPr>
        <w:rPr>
          <w:rFonts w:ascii="Cambria" w:hAnsi="Cambria"/>
          <w:lang w:val="en-GB"/>
        </w:rPr>
      </w:pPr>
      <w:r w:rsidRPr="00C243CD">
        <w:rPr>
          <w:rFonts w:ascii="Cambria" w:hAnsi="Cambria"/>
          <w:lang w:val="en-GB"/>
        </w:rPr>
        <w:t>For the purposes of this table, guarantees have to be reported on a transaction basis, i.e. each transaction reported as an individual line item.</w:t>
      </w:r>
      <w:r w:rsidR="00E92F58" w:rsidRPr="00C243CD">
        <w:rPr>
          <w:rFonts w:ascii="Cambria" w:hAnsi="Cambria"/>
          <w:lang w:val="en-GB"/>
        </w:rPr>
        <w:t xml:space="preserve"> No reporting thresholds are applicable in this respect.</w:t>
      </w:r>
    </w:p>
    <w:p w14:paraId="15E4E6F5" w14:textId="507BEDF0" w:rsidR="004F470B" w:rsidRPr="00C243CD" w:rsidRDefault="00DA3A5D" w:rsidP="008E642F">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10 - N°</w:t>
      </w:r>
    </w:p>
    <w:p w14:paraId="43619438" w14:textId="5F8B4AB5" w:rsidR="0046120E" w:rsidRPr="00C243CD" w:rsidRDefault="004F470B" w:rsidP="008E642F">
      <w:pPr>
        <w:rPr>
          <w:rFonts w:ascii="Cambria" w:hAnsi="Cambria"/>
          <w:lang w:val="en-GB"/>
        </w:rPr>
      </w:pPr>
      <w:r w:rsidRPr="00C243CD">
        <w:rPr>
          <w:rFonts w:ascii="Cambria" w:hAnsi="Cambria"/>
          <w:lang w:val="en-GB"/>
        </w:rPr>
        <w:t>Unique number/primary key to identify the line items.</w:t>
      </w:r>
    </w:p>
    <w:p w14:paraId="1E9C8716" w14:textId="3BCE2EF5" w:rsidR="00D202BC" w:rsidRPr="00C243CD" w:rsidRDefault="00DA3A5D" w:rsidP="008E642F">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2</w:t>
      </w:r>
      <w:r w:rsidR="00D202BC" w:rsidRPr="00C243CD">
        <w:rPr>
          <w:rFonts w:ascii="Cambria" w:hAnsi="Cambria"/>
          <w:lang w:val="en-GB"/>
        </w:rPr>
        <w:t>0 - Insolvency Ranking</w:t>
      </w:r>
    </w:p>
    <w:p w14:paraId="75F70CCA" w14:textId="77777777" w:rsidR="00D202BC" w:rsidRPr="00C243CD" w:rsidRDefault="00D202BC" w:rsidP="008E642F">
      <w:pPr>
        <w:rPr>
          <w:rFonts w:ascii="Cambria" w:hAnsi="Cambria"/>
          <w:lang w:val="en-GB"/>
        </w:rPr>
      </w:pPr>
      <w:r w:rsidRPr="00C243CD">
        <w:rPr>
          <w:rFonts w:ascii="Cambria" w:hAnsi="Cambria"/>
          <w:lang w:val="en-GB"/>
        </w:rPr>
        <w:t xml:space="preserve">Identified ranking in line with </w:t>
      </w:r>
      <w:r w:rsidR="00E62E61" w:rsidRPr="00C243CD">
        <w:rPr>
          <w:rFonts w:ascii="Cambria" w:hAnsi="Cambria"/>
          <w:lang w:val="en-GB"/>
        </w:rPr>
        <w:t xml:space="preserve">Part 1, Section 6 </w:t>
      </w:r>
      <w:r w:rsidRPr="00C243CD">
        <w:rPr>
          <w:rFonts w:ascii="Cambria" w:hAnsi="Cambria"/>
          <w:lang w:val="en-GB"/>
        </w:rPr>
        <w:t xml:space="preserve">of the </w:t>
      </w:r>
      <w:r w:rsidR="00341874" w:rsidRPr="00C243CD">
        <w:rPr>
          <w:rFonts w:ascii="Cambria" w:hAnsi="Cambria"/>
          <w:lang w:val="en-GB"/>
        </w:rPr>
        <w:t>guidance</w:t>
      </w:r>
      <w:r w:rsidRPr="00C243CD">
        <w:rPr>
          <w:rFonts w:ascii="Cambria" w:hAnsi="Cambria"/>
          <w:lang w:val="en-GB"/>
        </w:rPr>
        <w:t>.</w:t>
      </w:r>
      <w:r w:rsidR="003A24E8" w:rsidRPr="00C243CD">
        <w:rPr>
          <w:rFonts w:ascii="Cambria" w:hAnsi="Cambria"/>
          <w:lang w:val="en-GB"/>
        </w:rPr>
        <w:t xml:space="preserve"> For the guarantees, please provide the ranking the resulting claim would receive.</w:t>
      </w:r>
    </w:p>
    <w:p w14:paraId="21B28B42" w14:textId="333A6DDB" w:rsidR="002B5DBA" w:rsidRPr="00C243CD" w:rsidRDefault="00DA3A5D" w:rsidP="008E642F">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3</w:t>
      </w:r>
      <w:r w:rsidR="002B5DBA" w:rsidRPr="00C243CD">
        <w:rPr>
          <w:rFonts w:ascii="Cambria" w:hAnsi="Cambria"/>
          <w:lang w:val="en-GB"/>
        </w:rPr>
        <w:t xml:space="preserve">0 - </w:t>
      </w:r>
      <w:r w:rsidR="00E616B6" w:rsidRPr="00E616B6">
        <w:rPr>
          <w:rFonts w:ascii="Cambria" w:hAnsi="Cambria"/>
          <w:lang w:val="en-GB"/>
        </w:rPr>
        <w:t>Contract Identifier</w:t>
      </w:r>
    </w:p>
    <w:p w14:paraId="29E17F4C" w14:textId="6EE008CD" w:rsidR="00DD7134" w:rsidRDefault="002B5DBA" w:rsidP="008E642F">
      <w:pPr>
        <w:rPr>
          <w:rFonts w:ascii="Cambria" w:hAnsi="Cambria"/>
          <w:lang w:val="en-GB"/>
        </w:rPr>
      </w:pPr>
      <w:r w:rsidRPr="00C243CD">
        <w:rPr>
          <w:rFonts w:ascii="Cambria" w:hAnsi="Cambria"/>
          <w:lang w:val="en-GB"/>
        </w:rPr>
        <w:t>Internal identifier of the guarantee and of the financial support arrangement, if applicable.</w:t>
      </w:r>
    </w:p>
    <w:p w14:paraId="5D03352E" w14:textId="77777777" w:rsidR="00861568" w:rsidRDefault="00861568" w:rsidP="008E642F">
      <w:pPr>
        <w:pStyle w:val="Heading4"/>
        <w:rPr>
          <w:rFonts w:ascii="Cambria" w:hAnsi="Cambria"/>
          <w:lang w:val="en-GB"/>
        </w:rPr>
      </w:pPr>
      <w:r>
        <w:rPr>
          <w:rFonts w:ascii="Cambria" w:hAnsi="Cambria"/>
          <w:lang w:val="en-GB"/>
        </w:rPr>
        <w:t>c0035 - Entity name of the lending entity</w:t>
      </w:r>
    </w:p>
    <w:p w14:paraId="23BEA3D3" w14:textId="546B643A" w:rsidR="00861568" w:rsidRPr="00C243CD" w:rsidRDefault="00861568" w:rsidP="008E642F">
      <w:pPr>
        <w:rPr>
          <w:rFonts w:ascii="Cambria" w:hAnsi="Cambria"/>
          <w:lang w:val="en-GB"/>
        </w:rPr>
      </w:pPr>
      <w:r w:rsidRPr="008125B1">
        <w:rPr>
          <w:rFonts w:ascii="Cambria" w:hAnsi="Cambria"/>
          <w:lang w:val="en-GB"/>
        </w:rPr>
        <w:t xml:space="preserve">Must be different from the entity name </w:t>
      </w:r>
      <w:r>
        <w:rPr>
          <w:rFonts w:ascii="Cambria" w:hAnsi="Cambria"/>
          <w:lang w:val="en-GB"/>
        </w:rPr>
        <w:t>reported in</w:t>
      </w:r>
      <w:r w:rsidRPr="008125B1">
        <w:rPr>
          <w:rFonts w:ascii="Cambria" w:hAnsi="Cambria"/>
          <w:lang w:val="en-GB"/>
        </w:rPr>
        <w:t xml:space="preserve"> </w:t>
      </w:r>
      <w:r>
        <w:rPr>
          <w:rFonts w:ascii="Cambria" w:hAnsi="Cambria"/>
          <w:lang w:val="en-GB"/>
        </w:rPr>
        <w:t>T99.00-r</w:t>
      </w:r>
      <w:r w:rsidRPr="008125B1">
        <w:rPr>
          <w:rFonts w:ascii="Cambria" w:hAnsi="Cambria"/>
          <w:lang w:val="en-GB"/>
        </w:rPr>
        <w:t>0010</w:t>
      </w:r>
      <w:r>
        <w:rPr>
          <w:rFonts w:ascii="Cambria" w:hAnsi="Cambria"/>
          <w:lang w:val="en-GB"/>
        </w:rPr>
        <w:t>.</w:t>
      </w:r>
    </w:p>
    <w:p w14:paraId="4B56C61A" w14:textId="2CF6B5E5" w:rsidR="002B5DBA" w:rsidRPr="00C243CD" w:rsidRDefault="00DA3A5D" w:rsidP="008E642F">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4</w:t>
      </w:r>
      <w:r w:rsidR="002B5DBA" w:rsidRPr="00C243CD">
        <w:rPr>
          <w:rFonts w:ascii="Cambria" w:hAnsi="Cambria"/>
          <w:lang w:val="en-GB"/>
        </w:rPr>
        <w:t xml:space="preserve">0 - </w:t>
      </w:r>
      <w:r w:rsidR="00E54726" w:rsidRPr="00C243CD">
        <w:rPr>
          <w:rFonts w:ascii="Cambria" w:hAnsi="Cambria"/>
          <w:lang w:val="en-GB"/>
        </w:rPr>
        <w:t>LEI/MFI/Internal Identifier of Guaranteed Entity</w:t>
      </w:r>
    </w:p>
    <w:p w14:paraId="5AFAA0FF" w14:textId="77777777" w:rsidR="00E54726" w:rsidRPr="00C243CD" w:rsidRDefault="00E54726" w:rsidP="008E642F">
      <w:pPr>
        <w:rPr>
          <w:rFonts w:ascii="Cambria" w:hAnsi="Cambria"/>
          <w:lang w:val="en-GB"/>
        </w:rPr>
      </w:pPr>
      <w:r w:rsidRPr="00C243CD">
        <w:rPr>
          <w:rFonts w:ascii="Cambria" w:hAnsi="Cambria"/>
          <w:lang w:val="en-GB"/>
        </w:rPr>
        <w:t xml:space="preserve">The unique LEI code for the guaranteed entity, in line with requirements by EMIR or Dodd-Frank, for which the report is submitted. In the absence of a LEI, the </w:t>
      </w:r>
      <w:r w:rsidRPr="00C243CD">
        <w:rPr>
          <w:rFonts w:ascii="Cambria" w:hAnsi="Cambria"/>
          <w:szCs w:val="20"/>
          <w:lang w:val="en-GB" w:eastAsia="en-GB"/>
        </w:rPr>
        <w:t>ECB Monetary Financial Institutions unique IDentifier (MFI ID) of the credit institution for use in RIAD should be used. In absence of both such identifiers exclusively, the internal identifier can be used.</w:t>
      </w:r>
    </w:p>
    <w:p w14:paraId="6B95B3F4" w14:textId="3FD574C4" w:rsidR="00DD7134" w:rsidRDefault="00DD7134" w:rsidP="008E642F">
      <w:pPr>
        <w:rPr>
          <w:rFonts w:ascii="Cambria" w:eastAsiaTheme="majorEastAsia" w:hAnsi="Cambria" w:cstheme="majorBidi"/>
          <w:i/>
          <w:iCs/>
          <w:color w:val="2E74B5" w:themeColor="accent1" w:themeShade="BF"/>
          <w:lang w:val="en-GB"/>
        </w:rPr>
      </w:pPr>
      <w:r>
        <w:rPr>
          <w:rFonts w:ascii="Cambria" w:eastAsiaTheme="majorEastAsia" w:hAnsi="Cambria" w:cstheme="majorBidi"/>
          <w:i/>
          <w:iCs/>
          <w:color w:val="2E74B5" w:themeColor="accent1" w:themeShade="BF"/>
          <w:lang w:val="en-GB"/>
        </w:rPr>
        <w:t>c</w:t>
      </w:r>
      <w:r w:rsidRPr="00047E4D">
        <w:rPr>
          <w:rFonts w:ascii="Cambria" w:eastAsiaTheme="majorEastAsia" w:hAnsi="Cambria" w:cstheme="majorBidi"/>
          <w:i/>
          <w:iCs/>
          <w:color w:val="2E74B5" w:themeColor="accent1" w:themeShade="BF"/>
          <w:lang w:val="en-GB"/>
        </w:rPr>
        <w:t>00</w:t>
      </w:r>
      <w:r>
        <w:rPr>
          <w:rFonts w:ascii="Cambria" w:eastAsiaTheme="majorEastAsia" w:hAnsi="Cambria" w:cstheme="majorBidi"/>
          <w:i/>
          <w:iCs/>
          <w:color w:val="2E74B5" w:themeColor="accent1" w:themeShade="BF"/>
          <w:lang w:val="en-GB"/>
        </w:rPr>
        <w:t>45</w:t>
      </w:r>
      <w:r w:rsidRPr="00047E4D">
        <w:rPr>
          <w:rFonts w:ascii="Cambria" w:eastAsiaTheme="majorEastAsia" w:hAnsi="Cambria" w:cstheme="majorBidi"/>
          <w:i/>
          <w:iCs/>
          <w:color w:val="2E74B5" w:themeColor="accent1" w:themeShade="BF"/>
          <w:lang w:val="en-GB"/>
        </w:rPr>
        <w:t xml:space="preserve"> –Type of Identifier</w:t>
      </w:r>
    </w:p>
    <w:p w14:paraId="1C95847A" w14:textId="6948219D" w:rsidR="003D6B3C" w:rsidRDefault="003D6B3C" w:rsidP="008E642F">
      <w:pPr>
        <w:rPr>
          <w:rFonts w:ascii="Cambria" w:hAnsi="Cambria"/>
          <w:lang w:val="en-GB"/>
        </w:rPr>
      </w:pPr>
      <w:r>
        <w:rPr>
          <w:rFonts w:ascii="Cambria" w:hAnsi="Cambria"/>
          <w:lang w:val="en-GB"/>
        </w:rPr>
        <w:t>To be chosen among the following options</w:t>
      </w:r>
      <w:r w:rsidRPr="003D6B3C">
        <w:rPr>
          <w:rFonts w:ascii="Cambria" w:hAnsi="Cambria"/>
          <w:lang w:val="en-GB"/>
        </w:rPr>
        <w:t>: “LEI code”, “MFI code” or “Type of identifier, other than LEI or MFI code”.</w:t>
      </w:r>
    </w:p>
    <w:p w14:paraId="1277F6C3" w14:textId="1C746C5B" w:rsidR="005C7220" w:rsidRDefault="005C7220" w:rsidP="008E642F">
      <w:pPr>
        <w:pStyle w:val="Heading4"/>
        <w:rPr>
          <w:rFonts w:ascii="Cambria" w:hAnsi="Cambria"/>
          <w:lang w:val="en-GB"/>
        </w:rPr>
      </w:pPr>
      <w:r>
        <w:rPr>
          <w:rFonts w:ascii="Cambria" w:hAnsi="Cambria"/>
          <w:lang w:val="en-GB"/>
        </w:rPr>
        <w:t xml:space="preserve">c0047 - </w:t>
      </w:r>
      <w:r w:rsidRPr="00A21F57">
        <w:rPr>
          <w:rFonts w:ascii="Cambria" w:hAnsi="Cambria"/>
          <w:lang w:val="en-GB"/>
        </w:rPr>
        <w:t xml:space="preserve">Is </w:t>
      </w:r>
      <w:r>
        <w:rPr>
          <w:rFonts w:ascii="Cambria" w:hAnsi="Cambria"/>
          <w:lang w:val="en-GB"/>
        </w:rPr>
        <w:t>the Beneficiary</w:t>
      </w:r>
      <w:r w:rsidRPr="00A21F57">
        <w:rPr>
          <w:rFonts w:ascii="Cambria" w:hAnsi="Cambria"/>
          <w:lang w:val="en-GB"/>
        </w:rPr>
        <w:t xml:space="preserve"> included in the Resolution Group of Reporting Entity?</w:t>
      </w:r>
    </w:p>
    <w:p w14:paraId="0F3E68AB" w14:textId="0470DB11" w:rsidR="005C7220" w:rsidRPr="003D6B3C" w:rsidRDefault="005C7220" w:rsidP="008E642F">
      <w:pPr>
        <w:rPr>
          <w:rFonts w:ascii="Cambria" w:hAnsi="Cambria"/>
          <w:lang w:val="en-GB"/>
        </w:rPr>
      </w:pPr>
      <w:r>
        <w:rPr>
          <w:rFonts w:ascii="Cambria" w:hAnsi="Cambria"/>
          <w:lang w:val="en-GB"/>
        </w:rPr>
        <w:t>To be chosen among the following options</w:t>
      </w:r>
      <w:r w:rsidRPr="003D6B3C">
        <w:rPr>
          <w:rFonts w:ascii="Cambria" w:hAnsi="Cambria"/>
          <w:lang w:val="en-GB"/>
        </w:rPr>
        <w:t>: “</w:t>
      </w:r>
      <w:r w:rsidR="00CC5963">
        <w:rPr>
          <w:rFonts w:ascii="Cambria" w:hAnsi="Cambria"/>
          <w:lang w:val="en-GB"/>
        </w:rPr>
        <w:t>t</w:t>
      </w:r>
      <w:r w:rsidR="00731B2D">
        <w:rPr>
          <w:rFonts w:ascii="Cambria" w:hAnsi="Cambria"/>
          <w:lang w:val="en-GB"/>
        </w:rPr>
        <w:t>rue</w:t>
      </w:r>
      <w:r>
        <w:rPr>
          <w:rFonts w:ascii="Cambria" w:hAnsi="Cambria"/>
          <w:lang w:val="en-GB"/>
        </w:rPr>
        <w:t>”, or “</w:t>
      </w:r>
      <w:r w:rsidR="00CC5963">
        <w:rPr>
          <w:rFonts w:ascii="Cambria" w:hAnsi="Cambria"/>
          <w:lang w:val="en-GB"/>
        </w:rPr>
        <w:t>f</w:t>
      </w:r>
      <w:r w:rsidR="00731B2D">
        <w:rPr>
          <w:rFonts w:ascii="Cambria" w:hAnsi="Cambria"/>
          <w:lang w:val="en-GB"/>
        </w:rPr>
        <w:t>alse</w:t>
      </w:r>
      <w:r>
        <w:rPr>
          <w:rFonts w:ascii="Cambria" w:hAnsi="Cambria"/>
          <w:lang w:val="en-GB"/>
        </w:rPr>
        <w:t>”.</w:t>
      </w:r>
    </w:p>
    <w:p w14:paraId="5BFF3066" w14:textId="5DE460C8" w:rsidR="002B5DBA" w:rsidRPr="00C243CD" w:rsidRDefault="003D6B3C" w:rsidP="008E642F">
      <w:pPr>
        <w:pStyle w:val="Heading4"/>
        <w:rPr>
          <w:rFonts w:ascii="Cambria" w:hAnsi="Cambria"/>
          <w:lang w:val="en-GB"/>
        </w:rPr>
      </w:pPr>
      <w:r w:rsidRPr="00C243CD">
        <w:rPr>
          <w:rFonts w:ascii="Cambria" w:hAnsi="Cambria"/>
          <w:lang w:val="en-GB"/>
        </w:rPr>
        <w:t xml:space="preserve"> </w:t>
      </w:r>
      <w:r w:rsidR="00DA3A5D" w:rsidRPr="00C243CD">
        <w:rPr>
          <w:rFonts w:ascii="Cambria" w:hAnsi="Cambria"/>
          <w:lang w:val="en-GB"/>
        </w:rPr>
        <w:t>c00</w:t>
      </w:r>
      <w:r w:rsidR="004F470B" w:rsidRPr="00C243CD">
        <w:rPr>
          <w:rFonts w:ascii="Cambria" w:hAnsi="Cambria"/>
          <w:lang w:val="en-GB"/>
        </w:rPr>
        <w:t>5</w:t>
      </w:r>
      <w:r w:rsidR="002B5DBA" w:rsidRPr="00C243CD">
        <w:rPr>
          <w:rFonts w:ascii="Cambria" w:hAnsi="Cambria"/>
          <w:lang w:val="en-GB"/>
        </w:rPr>
        <w:t>0 - Governing Law</w:t>
      </w:r>
    </w:p>
    <w:p w14:paraId="67F0AA1F" w14:textId="1D360865" w:rsidR="002B5DBA" w:rsidRPr="00C243CD" w:rsidRDefault="002B5DBA" w:rsidP="008E642F">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t>
      </w:r>
      <w:r w:rsidR="00F64A95" w:rsidRPr="00C243CD">
        <w:rPr>
          <w:rFonts w:ascii="Cambria" w:hAnsi="Cambria"/>
          <w:lang w:val="en-GB"/>
        </w:rPr>
        <w:t>whose</w:t>
      </w:r>
      <w:r w:rsidRPr="00C243CD">
        <w:rPr>
          <w:rFonts w:ascii="Cambria" w:hAnsi="Cambria"/>
          <w:lang w:val="en-GB"/>
        </w:rPr>
        <w:t xml:space="preserve"> law governs the instrument.</w:t>
      </w:r>
    </w:p>
    <w:p w14:paraId="16BB44C6" w14:textId="1D61AF6D" w:rsidR="00FB02CE" w:rsidRPr="00C243CD" w:rsidRDefault="00DA3A5D" w:rsidP="008E642F">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6</w:t>
      </w:r>
      <w:r w:rsidR="00FB02CE" w:rsidRPr="00C243CD">
        <w:rPr>
          <w:rFonts w:ascii="Cambria" w:hAnsi="Cambria"/>
          <w:lang w:val="en-GB"/>
        </w:rPr>
        <w:t>0 - Guarantee Type</w:t>
      </w:r>
    </w:p>
    <w:p w14:paraId="294A2DC8" w14:textId="77777777" w:rsidR="00164809" w:rsidRPr="00C243CD" w:rsidRDefault="00164809" w:rsidP="008E642F">
      <w:pPr>
        <w:rPr>
          <w:rFonts w:ascii="Cambria" w:hAnsi="Cambria"/>
          <w:lang w:val="en-GB"/>
        </w:rPr>
      </w:pPr>
      <w:r w:rsidRPr="00C243CD">
        <w:rPr>
          <w:rFonts w:ascii="Cambria" w:hAnsi="Cambria"/>
          <w:lang w:val="en-GB"/>
        </w:rPr>
        <w:t>The type of guarantee from a predefined list, either:</w:t>
      </w:r>
    </w:p>
    <w:p w14:paraId="1DCB20EF" w14:textId="77777777" w:rsidR="00164809" w:rsidRPr="00C243CD" w:rsidRDefault="00164809" w:rsidP="008E642F">
      <w:pPr>
        <w:pStyle w:val="ListParagraph"/>
        <w:numPr>
          <w:ilvl w:val="0"/>
          <w:numId w:val="21"/>
        </w:numPr>
        <w:rPr>
          <w:sz w:val="20"/>
          <w:lang w:val="en-GB"/>
        </w:rPr>
      </w:pPr>
      <w:r w:rsidRPr="00C243CD">
        <w:rPr>
          <w:sz w:val="20"/>
          <w:lang w:val="en-GB"/>
        </w:rPr>
        <w:t>‘Issuance’ for guarantees on specific instruments/liabilities that have been issued;</w:t>
      </w:r>
    </w:p>
    <w:p w14:paraId="14BB2B0C" w14:textId="77777777" w:rsidR="00164809" w:rsidRPr="00C243CD" w:rsidRDefault="00164809" w:rsidP="008E642F">
      <w:pPr>
        <w:pStyle w:val="ListParagraph"/>
        <w:numPr>
          <w:ilvl w:val="0"/>
          <w:numId w:val="21"/>
        </w:numPr>
        <w:rPr>
          <w:sz w:val="20"/>
          <w:lang w:val="en-GB"/>
        </w:rPr>
      </w:pPr>
      <w:r w:rsidRPr="00C243CD">
        <w:rPr>
          <w:sz w:val="20"/>
          <w:lang w:val="en-GB"/>
        </w:rPr>
        <w:t>‘Counterparty’ for guarantees granted to a specific counterparty of the institution;</w:t>
      </w:r>
    </w:p>
    <w:p w14:paraId="6B6F2401" w14:textId="77777777" w:rsidR="00164809" w:rsidRPr="00C243CD" w:rsidRDefault="00164809" w:rsidP="008E642F">
      <w:pPr>
        <w:pStyle w:val="ListParagraph"/>
        <w:numPr>
          <w:ilvl w:val="0"/>
          <w:numId w:val="21"/>
        </w:numPr>
        <w:rPr>
          <w:sz w:val="20"/>
          <w:lang w:val="en-GB"/>
        </w:rPr>
      </w:pPr>
      <w:r w:rsidRPr="00C243CD">
        <w:rPr>
          <w:sz w:val="20"/>
          <w:lang w:val="en-GB"/>
        </w:rPr>
        <w:t>‘Unlimited’ for general guarantees not limited to a fixed amount;</w:t>
      </w:r>
    </w:p>
    <w:p w14:paraId="21C5207E" w14:textId="77777777" w:rsidR="00FB02CE" w:rsidRPr="00C243CD" w:rsidRDefault="00164809" w:rsidP="008E642F">
      <w:pPr>
        <w:pStyle w:val="ListParagraph"/>
        <w:numPr>
          <w:ilvl w:val="0"/>
          <w:numId w:val="21"/>
        </w:numPr>
        <w:rPr>
          <w:sz w:val="20"/>
          <w:lang w:val="en-GB"/>
        </w:rPr>
      </w:pPr>
      <w:r w:rsidRPr="00C243CD">
        <w:rPr>
          <w:sz w:val="20"/>
          <w:lang w:val="en-GB"/>
        </w:rPr>
        <w:t>‘Other’ for any type of guarantee not covered by the previous types.</w:t>
      </w:r>
    </w:p>
    <w:p w14:paraId="227C4B6E" w14:textId="0E4CB647" w:rsidR="002B5DBA" w:rsidRPr="00C243CD" w:rsidRDefault="00DA3A5D" w:rsidP="008E642F">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7</w:t>
      </w:r>
      <w:r w:rsidR="002B5DBA" w:rsidRPr="00C243CD">
        <w:rPr>
          <w:rFonts w:ascii="Cambria" w:hAnsi="Cambria"/>
          <w:lang w:val="en-GB"/>
        </w:rPr>
        <w:t>0 - Potential Maximum Gua</w:t>
      </w:r>
      <w:r w:rsidR="00FB02CE" w:rsidRPr="00C243CD">
        <w:rPr>
          <w:rFonts w:ascii="Cambria" w:hAnsi="Cambria"/>
          <w:lang w:val="en-GB"/>
        </w:rPr>
        <w:t>ranteed Amount</w:t>
      </w:r>
    </w:p>
    <w:p w14:paraId="156683A5" w14:textId="77777777" w:rsidR="002B5DBA" w:rsidRPr="00C243CD" w:rsidRDefault="002B5DBA" w:rsidP="008E642F">
      <w:pPr>
        <w:rPr>
          <w:rFonts w:ascii="Cambria" w:hAnsi="Cambria"/>
          <w:lang w:val="en-GB"/>
        </w:rPr>
      </w:pPr>
      <w:r w:rsidRPr="00C243CD">
        <w:rPr>
          <w:rFonts w:ascii="Cambria" w:hAnsi="Cambria"/>
          <w:lang w:val="en-GB"/>
        </w:rPr>
        <w:t>The EUR (counter) value of the maximum amount (if any) covered by the guarantee/financial support arrangement.</w:t>
      </w:r>
    </w:p>
    <w:p w14:paraId="18D50BC3" w14:textId="11CF55D3" w:rsidR="002B5DBA" w:rsidRPr="00C243CD" w:rsidRDefault="00DA3A5D" w:rsidP="008E642F">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8</w:t>
      </w:r>
      <w:r w:rsidR="002B5DBA" w:rsidRPr="00C243CD">
        <w:rPr>
          <w:rFonts w:ascii="Cambria" w:hAnsi="Cambria"/>
          <w:lang w:val="en-GB"/>
        </w:rPr>
        <w:t>0 - Collateralised</w:t>
      </w:r>
    </w:p>
    <w:p w14:paraId="403101DF" w14:textId="77777777" w:rsidR="00FB02CE" w:rsidRPr="00C243CD" w:rsidRDefault="00FB02CE" w:rsidP="008E642F">
      <w:pPr>
        <w:rPr>
          <w:rFonts w:ascii="Cambria" w:hAnsi="Cambria"/>
          <w:lang w:val="en-GB"/>
        </w:rPr>
      </w:pPr>
      <w:r w:rsidRPr="00C243CD">
        <w:rPr>
          <w:rFonts w:ascii="Cambria" w:hAnsi="Cambria"/>
          <w:lang w:val="en-GB"/>
        </w:rPr>
        <w:t>Please indicate if some kind of collateral is provided to support the guarantee/financial support arrangement, either ‘Yes’ or ‘No’ from a predefined list.</w:t>
      </w:r>
    </w:p>
    <w:p w14:paraId="33218D2C" w14:textId="0971AD2D" w:rsidR="002B5DBA" w:rsidRPr="00C243CD" w:rsidRDefault="007A2278" w:rsidP="008E642F">
      <w:pPr>
        <w:pStyle w:val="Heading4"/>
        <w:rPr>
          <w:rFonts w:ascii="Cambria" w:hAnsi="Cambria"/>
          <w:lang w:val="en-GB"/>
        </w:rPr>
      </w:pPr>
      <w:r>
        <w:rPr>
          <w:rFonts w:ascii="Cambria" w:hAnsi="Cambria"/>
          <w:lang w:val="en-GB"/>
        </w:rPr>
        <w:t>c</w:t>
      </w:r>
      <w:r w:rsidR="00DA3A5D" w:rsidRPr="00C243CD">
        <w:rPr>
          <w:rFonts w:ascii="Cambria" w:hAnsi="Cambria"/>
          <w:lang w:val="en-GB"/>
        </w:rPr>
        <w:t>00</w:t>
      </w:r>
      <w:r w:rsidR="004F470B" w:rsidRPr="00C243CD">
        <w:rPr>
          <w:rFonts w:ascii="Cambria" w:hAnsi="Cambria"/>
          <w:lang w:val="en-GB"/>
        </w:rPr>
        <w:t>9</w:t>
      </w:r>
      <w:r w:rsidR="002B5DBA" w:rsidRPr="00C243CD">
        <w:rPr>
          <w:rFonts w:ascii="Cambria" w:hAnsi="Cambria"/>
          <w:lang w:val="en-GB"/>
        </w:rPr>
        <w:t>0 - Amount of collateral provided</w:t>
      </w:r>
    </w:p>
    <w:p w14:paraId="29319D90" w14:textId="77777777" w:rsidR="002B5DBA" w:rsidRPr="00C243CD" w:rsidRDefault="002B5DBA" w:rsidP="008E642F">
      <w:pPr>
        <w:rPr>
          <w:rFonts w:ascii="Cambria" w:hAnsi="Cambria"/>
          <w:lang w:val="en-GB"/>
        </w:rPr>
      </w:pPr>
      <w:r w:rsidRPr="00C243CD">
        <w:rPr>
          <w:rFonts w:ascii="Cambria" w:hAnsi="Cambria"/>
          <w:lang w:val="en-GB"/>
        </w:rPr>
        <w:t>If collateralised, the amount of collateral provided should be indicated, net of valuation adjustments and haircuts.</w:t>
      </w:r>
    </w:p>
    <w:p w14:paraId="6F766936" w14:textId="4793A91C" w:rsidR="002B5DBA" w:rsidRPr="00C243CD" w:rsidRDefault="00DA3A5D" w:rsidP="008E642F">
      <w:pPr>
        <w:pStyle w:val="Heading4"/>
        <w:rPr>
          <w:rFonts w:ascii="Cambria" w:hAnsi="Cambria"/>
          <w:lang w:val="en-GB"/>
        </w:rPr>
      </w:pPr>
      <w:r w:rsidRPr="00C243CD">
        <w:rPr>
          <w:rFonts w:ascii="Cambria" w:hAnsi="Cambria"/>
          <w:lang w:val="en-GB"/>
        </w:rPr>
        <w:t>c01</w:t>
      </w:r>
      <w:r w:rsidR="004F470B" w:rsidRPr="00C243CD">
        <w:rPr>
          <w:rFonts w:ascii="Cambria" w:hAnsi="Cambria"/>
          <w:lang w:val="en-GB"/>
        </w:rPr>
        <w:t>0</w:t>
      </w:r>
      <w:r w:rsidR="002B5DBA" w:rsidRPr="00C243CD">
        <w:rPr>
          <w:rFonts w:ascii="Cambria" w:hAnsi="Cambria"/>
          <w:lang w:val="en-GB"/>
        </w:rPr>
        <w:t xml:space="preserve">0 - </w:t>
      </w:r>
      <w:r w:rsidR="00FB02CE" w:rsidRPr="00C243CD">
        <w:rPr>
          <w:rFonts w:ascii="Cambria" w:hAnsi="Cambria"/>
          <w:lang w:val="en-GB"/>
        </w:rPr>
        <w:t>G</w:t>
      </w:r>
      <w:r w:rsidR="002B5DBA" w:rsidRPr="00C243CD">
        <w:rPr>
          <w:rFonts w:ascii="Cambria" w:hAnsi="Cambria"/>
          <w:lang w:val="en-GB"/>
        </w:rPr>
        <w:t xml:space="preserve">uarantee </w:t>
      </w:r>
      <w:r w:rsidR="00FB02CE" w:rsidRPr="00C243CD">
        <w:rPr>
          <w:rFonts w:ascii="Cambria" w:hAnsi="Cambria"/>
          <w:lang w:val="en-GB"/>
        </w:rPr>
        <w:t>Trigger</w:t>
      </w:r>
    </w:p>
    <w:p w14:paraId="59BFF5D5" w14:textId="2428FB32" w:rsidR="00C15DAB" w:rsidRPr="00C243CD" w:rsidRDefault="00FB02CE" w:rsidP="00AA619B">
      <w:pPr>
        <w:rPr>
          <w:rFonts w:ascii="Cambria" w:hAnsi="Cambria"/>
          <w:lang w:val="en-GB"/>
        </w:rPr>
      </w:pPr>
      <w:r w:rsidRPr="00C243CD">
        <w:rPr>
          <w:rFonts w:ascii="Cambria" w:hAnsi="Cambria"/>
          <w:lang w:val="en-GB"/>
        </w:rPr>
        <w:t>Provide the type of event triggering the activation of the guarantee/financial support, i.e. the event enabling the right for the counterparty to execute the guarantee, either ‘Default’, ‘Solvency-related’, Liquidity-related’ or ‘Other’ from a predefined list.</w:t>
      </w:r>
      <w:r w:rsidR="00C15DAB" w:rsidRPr="00C243CD">
        <w:rPr>
          <w:rFonts w:ascii="Cambria" w:hAnsi="Cambria"/>
          <w:lang w:val="en-GB"/>
        </w:rPr>
        <w:br w:type="page"/>
      </w:r>
    </w:p>
    <w:p w14:paraId="3446C1A6" w14:textId="77777777" w:rsidR="00C15DAB" w:rsidRPr="00C243CD" w:rsidRDefault="00C15DAB">
      <w:pPr>
        <w:spacing w:after="160" w:line="259" w:lineRule="auto"/>
        <w:jc w:val="left"/>
        <w:rPr>
          <w:rFonts w:ascii="Cambria" w:hAnsi="Cambria"/>
          <w:lang w:val="en-GB"/>
        </w:rPr>
        <w:sectPr w:rsidR="00C15DAB" w:rsidRPr="00C243CD" w:rsidSect="00AC044E">
          <w:pgSz w:w="11906" w:h="16838"/>
          <w:pgMar w:top="2552" w:right="1440" w:bottom="1440" w:left="1440" w:header="708" w:footer="708" w:gutter="0"/>
          <w:cols w:space="708"/>
          <w:titlePg/>
          <w:docGrid w:linePitch="360"/>
        </w:sectPr>
      </w:pPr>
    </w:p>
    <w:p w14:paraId="197FCBE8" w14:textId="77777777" w:rsidR="00C8142A" w:rsidRPr="00C243CD" w:rsidRDefault="00C15DAB">
      <w:pPr>
        <w:spacing w:after="160" w:line="259" w:lineRule="auto"/>
        <w:jc w:val="left"/>
        <w:rPr>
          <w:rFonts w:ascii="Cambria" w:eastAsiaTheme="majorEastAsia" w:hAnsi="Cambria" w:cstheme="majorBidi"/>
          <w:sz w:val="24"/>
          <w:szCs w:val="24"/>
          <w:u w:val="single"/>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50" behindDoc="0" locked="0" layoutInCell="1" allowOverlap="1" wp14:anchorId="0F3EA316" wp14:editId="7103424E">
                <wp:simplePos x="0" y="0"/>
                <wp:positionH relativeFrom="page">
                  <wp:align>center</wp:align>
                </wp:positionH>
                <wp:positionV relativeFrom="paragraph">
                  <wp:posOffset>556591</wp:posOffset>
                </wp:positionV>
                <wp:extent cx="9764202" cy="5959475"/>
                <wp:effectExtent l="0" t="0" r="27940" b="15875"/>
                <wp:wrapNone/>
                <wp:docPr id="31" name="Text Box 31"/>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D22EA" w14:textId="77777777" w:rsidR="002D45CF" w:rsidRPr="006550F9" w:rsidRDefault="002D45CF" w:rsidP="00C15DAB">
                            <w:pPr>
                              <w:rPr>
                                <w:b/>
                                <w:lang w:val="en-GB"/>
                              </w:rPr>
                            </w:pPr>
                            <w:r>
                              <w:rPr>
                                <w:b/>
                                <w:lang w:val="en-GB"/>
                              </w:rPr>
                              <w:t>Simplified e</w:t>
                            </w:r>
                            <w:r w:rsidRPr="006550F9">
                              <w:rPr>
                                <w:b/>
                                <w:lang w:val="en-GB"/>
                              </w:rPr>
                              <w:t>xample</w:t>
                            </w:r>
                          </w:p>
                          <w:p w14:paraId="60F13F60" w14:textId="77777777" w:rsidR="002D45CF" w:rsidRPr="006550F9" w:rsidRDefault="002D45CF" w:rsidP="00C15DAB">
                            <w:pPr>
                              <w:rPr>
                                <w:lang w:val="en-GB"/>
                              </w:rPr>
                            </w:pPr>
                          </w:p>
                          <w:p w14:paraId="221933F2" w14:textId="25DBBF7C" w:rsidR="002D45CF" w:rsidRDefault="002D45CF" w:rsidP="00C15DAB">
                            <w:pPr>
                              <w:rPr>
                                <w:lang w:val="en-GB"/>
                              </w:rPr>
                            </w:pPr>
                            <w:r>
                              <w:rPr>
                                <w:lang w:val="en-GB"/>
                              </w:rPr>
                              <w:t>The entity has provided a blanket guarantee covering all liabilities of a subsidiary at any time</w:t>
                            </w:r>
                            <w:r w:rsidRPr="00247671">
                              <w:rPr>
                                <w:lang w:val="en-GB"/>
                              </w:rPr>
                              <w:t>.</w:t>
                            </w:r>
                            <w:r>
                              <w:rPr>
                                <w:lang w:val="en-GB"/>
                              </w:rPr>
                              <w:t xml:space="preserve"> This subsidiary has a balance sheet of </w:t>
                            </w:r>
                            <w:r w:rsidR="0046715C">
                              <w:rPr>
                                <w:lang w:val="en-GB"/>
                              </w:rPr>
                              <w:t xml:space="preserve">EUR </w:t>
                            </w:r>
                            <w:r>
                              <w:rPr>
                                <w:lang w:val="en-GB"/>
                              </w:rPr>
                              <w:t xml:space="preserve">10 billion, of which </w:t>
                            </w:r>
                            <w:r w:rsidR="0046715C">
                              <w:rPr>
                                <w:lang w:val="en-GB"/>
                              </w:rPr>
                              <w:t xml:space="preserve">EUR </w:t>
                            </w:r>
                            <w:r>
                              <w:rPr>
                                <w:lang w:val="en-GB"/>
                              </w:rPr>
                              <w:t xml:space="preserve">1 billion is the equity of the entity as at the reporting date. The blanket guarantee is subject to collateral in the amount of </w:t>
                            </w:r>
                            <w:r w:rsidR="0046715C">
                              <w:rPr>
                                <w:lang w:val="en-GB"/>
                              </w:rPr>
                              <w:t xml:space="preserve">EUR </w:t>
                            </w:r>
                            <w:r>
                              <w:rPr>
                                <w:lang w:val="en-GB"/>
                              </w:rPr>
                              <w:t>500 million.</w:t>
                            </w:r>
                          </w:p>
                          <w:p w14:paraId="3BEA9E3C" w14:textId="77777777" w:rsidR="002D45CF" w:rsidRDefault="002D45CF" w:rsidP="00C15DAB">
                            <w:pPr>
                              <w:rPr>
                                <w:lang w:val="en-GB"/>
                              </w:rPr>
                            </w:pPr>
                          </w:p>
                          <w:p w14:paraId="6C9C4049" w14:textId="158778D0" w:rsidR="002D45CF" w:rsidRDefault="0046715C" w:rsidP="00C15DAB">
                            <w:pPr>
                              <w:rPr>
                                <w:lang w:val="en-GB"/>
                              </w:rPr>
                            </w:pPr>
                            <w:r w:rsidRPr="0046715C">
                              <w:drawing>
                                <wp:inline distT="0" distB="0" distL="0" distR="0" wp14:anchorId="09328042" wp14:editId="2EBB8495">
                                  <wp:extent cx="9358146" cy="194480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08913" cy="1955356"/>
                                          </a:xfrm>
                                          <a:prstGeom prst="rect">
                                            <a:avLst/>
                                          </a:prstGeom>
                                          <a:noFill/>
                                          <a:ln>
                                            <a:noFill/>
                                          </a:ln>
                                        </pic:spPr>
                                      </pic:pic>
                                    </a:graphicData>
                                  </a:graphic>
                                </wp:inline>
                              </w:drawing>
                            </w:r>
                          </w:p>
                          <w:p w14:paraId="415B2DCD" w14:textId="77777777" w:rsidR="002D45CF" w:rsidRPr="006550F9" w:rsidRDefault="002D45CF" w:rsidP="00C15DA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3EA316" id="Text Box 31" o:spid="_x0000_s1029" type="#_x0000_t202" style="position:absolute;margin-left:0;margin-top:43.85pt;width:768.85pt;height:469.25pt;z-index:25165825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" fillcolor="white [3201]" strokeweight=".5pt">
                <v:textbox style="mso-fit-shape-to-text:t">
                  <w:txbxContent>
                    <w:p w14:paraId="46BD22EA" w14:textId="77777777" w:rsidR="002D45CF" w:rsidRPr="006550F9" w:rsidRDefault="002D45CF" w:rsidP="00C15DAB">
                      <w:pPr>
                        <w:rPr>
                          <w:b/>
                          <w:lang w:val="en-GB"/>
                        </w:rPr>
                      </w:pPr>
                      <w:r>
                        <w:rPr>
                          <w:b/>
                          <w:lang w:val="en-GB"/>
                        </w:rPr>
                        <w:t>Simplified e</w:t>
                      </w:r>
                      <w:r w:rsidRPr="006550F9">
                        <w:rPr>
                          <w:b/>
                          <w:lang w:val="en-GB"/>
                        </w:rPr>
                        <w:t>xample</w:t>
                      </w:r>
                    </w:p>
                    <w:p w14:paraId="60F13F60" w14:textId="77777777" w:rsidR="002D45CF" w:rsidRPr="006550F9" w:rsidRDefault="002D45CF" w:rsidP="00C15DAB">
                      <w:pPr>
                        <w:rPr>
                          <w:lang w:val="en-GB"/>
                        </w:rPr>
                      </w:pPr>
                    </w:p>
                    <w:p w14:paraId="221933F2" w14:textId="25DBBF7C" w:rsidR="002D45CF" w:rsidRDefault="002D45CF" w:rsidP="00C15DAB">
                      <w:pPr>
                        <w:rPr>
                          <w:lang w:val="en-GB"/>
                        </w:rPr>
                      </w:pPr>
                      <w:r>
                        <w:rPr>
                          <w:lang w:val="en-GB"/>
                        </w:rPr>
                        <w:t>The entity has provided a blanket guarantee covering all liabilities of a subsidiary at any time</w:t>
                      </w:r>
                      <w:r w:rsidRPr="00247671">
                        <w:rPr>
                          <w:lang w:val="en-GB"/>
                        </w:rPr>
                        <w:t>.</w:t>
                      </w:r>
                      <w:r>
                        <w:rPr>
                          <w:lang w:val="en-GB"/>
                        </w:rPr>
                        <w:t xml:space="preserve"> This subsidiary has a balance sheet of </w:t>
                      </w:r>
                      <w:r w:rsidR="0046715C">
                        <w:rPr>
                          <w:lang w:val="en-GB"/>
                        </w:rPr>
                        <w:t xml:space="preserve">EUR </w:t>
                      </w:r>
                      <w:r>
                        <w:rPr>
                          <w:lang w:val="en-GB"/>
                        </w:rPr>
                        <w:t xml:space="preserve">10 billion, of which </w:t>
                      </w:r>
                      <w:r w:rsidR="0046715C">
                        <w:rPr>
                          <w:lang w:val="en-GB"/>
                        </w:rPr>
                        <w:t xml:space="preserve">EUR </w:t>
                      </w:r>
                      <w:r>
                        <w:rPr>
                          <w:lang w:val="en-GB"/>
                        </w:rPr>
                        <w:t xml:space="preserve">1 billion is the equity of the entity as at the reporting date. The blanket guarantee is subject to collateral in the amount of </w:t>
                      </w:r>
                      <w:r w:rsidR="0046715C">
                        <w:rPr>
                          <w:lang w:val="en-GB"/>
                        </w:rPr>
                        <w:t xml:space="preserve">EUR </w:t>
                      </w:r>
                      <w:r>
                        <w:rPr>
                          <w:lang w:val="en-GB"/>
                        </w:rPr>
                        <w:t>500 million.</w:t>
                      </w:r>
                    </w:p>
                    <w:p w14:paraId="3BEA9E3C" w14:textId="77777777" w:rsidR="002D45CF" w:rsidRDefault="002D45CF" w:rsidP="00C15DAB">
                      <w:pPr>
                        <w:rPr>
                          <w:lang w:val="en-GB"/>
                        </w:rPr>
                      </w:pPr>
                    </w:p>
                    <w:p w14:paraId="6C9C4049" w14:textId="158778D0" w:rsidR="002D45CF" w:rsidRDefault="0046715C" w:rsidP="00C15DAB">
                      <w:pPr>
                        <w:rPr>
                          <w:lang w:val="en-GB"/>
                        </w:rPr>
                      </w:pPr>
                      <w:r w:rsidRPr="0046715C">
                        <w:drawing>
                          <wp:inline distT="0" distB="0" distL="0" distR="0" wp14:anchorId="09328042" wp14:editId="2EBB8495">
                            <wp:extent cx="9358146" cy="194480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08913" cy="1955356"/>
                                    </a:xfrm>
                                    <a:prstGeom prst="rect">
                                      <a:avLst/>
                                    </a:prstGeom>
                                    <a:noFill/>
                                    <a:ln>
                                      <a:noFill/>
                                    </a:ln>
                                  </pic:spPr>
                                </pic:pic>
                              </a:graphicData>
                            </a:graphic>
                          </wp:inline>
                        </w:drawing>
                      </w:r>
                    </w:p>
                    <w:p w14:paraId="415B2DCD" w14:textId="77777777" w:rsidR="002D45CF" w:rsidRPr="006550F9" w:rsidRDefault="002D45CF" w:rsidP="00C15DAB">
                      <w:pPr>
                        <w:rPr>
                          <w:lang w:val="en-GB"/>
                        </w:rPr>
                      </w:pPr>
                    </w:p>
                  </w:txbxContent>
                </v:textbox>
                <w10:wrap anchorx="page"/>
              </v:shape>
            </w:pict>
          </mc:Fallback>
        </mc:AlternateContent>
      </w:r>
      <w:r w:rsidR="00C8142A" w:rsidRPr="00C243CD">
        <w:rPr>
          <w:rFonts w:ascii="Cambria" w:hAnsi="Cambria"/>
          <w:lang w:val="en-GB"/>
        </w:rPr>
        <w:br w:type="page"/>
      </w:r>
    </w:p>
    <w:p w14:paraId="56BE4B83" w14:textId="77777777" w:rsidR="00C15DAB" w:rsidRPr="00C243CD" w:rsidRDefault="00C15DAB" w:rsidP="00B27610">
      <w:pPr>
        <w:pStyle w:val="Heading3"/>
        <w:numPr>
          <w:ilvl w:val="0"/>
          <w:numId w:val="22"/>
        </w:numPr>
        <w:ind w:left="426" w:hanging="426"/>
        <w:rPr>
          <w:rFonts w:ascii="Cambria" w:hAnsi="Cambria"/>
          <w:lang w:val="en-GB"/>
        </w:rPr>
        <w:sectPr w:rsidR="00C15DAB" w:rsidRPr="00C243CD" w:rsidSect="006550F9">
          <w:pgSz w:w="16838" w:h="11906" w:orient="landscape"/>
          <w:pgMar w:top="1440" w:right="2552" w:bottom="1440" w:left="1440" w:header="709" w:footer="709" w:gutter="0"/>
          <w:cols w:space="708"/>
          <w:titlePg/>
          <w:docGrid w:linePitch="360"/>
        </w:sectPr>
      </w:pPr>
    </w:p>
    <w:p w14:paraId="5D63BE53" w14:textId="77777777" w:rsidR="002B5DBA" w:rsidRPr="00C243CD" w:rsidRDefault="002B5DBA" w:rsidP="00B27610">
      <w:pPr>
        <w:pStyle w:val="Heading3"/>
        <w:numPr>
          <w:ilvl w:val="0"/>
          <w:numId w:val="22"/>
        </w:numPr>
        <w:ind w:left="426" w:hanging="426"/>
        <w:rPr>
          <w:rFonts w:ascii="Cambria" w:hAnsi="Cambria"/>
          <w:lang w:val="en-GB"/>
        </w:rPr>
      </w:pPr>
      <w:bookmarkStart w:id="207" w:name="_Toc12973027"/>
      <w:bookmarkStart w:id="208" w:name="_Toc13755757"/>
      <w:r w:rsidRPr="00C243CD">
        <w:rPr>
          <w:rFonts w:ascii="Cambria" w:hAnsi="Cambria"/>
          <w:lang w:val="en-GB"/>
        </w:rPr>
        <w:lastRenderedPageBreak/>
        <w:t>T04.00</w:t>
      </w:r>
      <w:r w:rsidR="009202A4" w:rsidRPr="00C243CD">
        <w:rPr>
          <w:rFonts w:ascii="Cambria" w:hAnsi="Cambria"/>
          <w:lang w:val="en-GB"/>
        </w:rPr>
        <w:t xml:space="preserve"> - Securities</w:t>
      </w:r>
      <w:bookmarkEnd w:id="207"/>
      <w:bookmarkEnd w:id="208"/>
    </w:p>
    <w:p w14:paraId="568958E8" w14:textId="77777777" w:rsidR="00DA5C81" w:rsidRPr="00C243CD" w:rsidRDefault="00DA5C81" w:rsidP="009474F1">
      <w:pPr>
        <w:rPr>
          <w:rFonts w:ascii="Cambria" w:hAnsi="Cambria"/>
          <w:lang w:val="en-GB"/>
        </w:rPr>
      </w:pPr>
      <w:r w:rsidRPr="00C243CD">
        <w:rPr>
          <w:rFonts w:ascii="Cambria" w:hAnsi="Cambria"/>
          <w:lang w:val="en-GB"/>
        </w:rPr>
        <w:t>A security is a fungible, negotiable financial instrument that represents a financial value, irrespective of their actual specificities (e.g. these instruments could be either secured or unsecured). This should also include</w:t>
      </w:r>
      <w:r w:rsidR="001B76C6" w:rsidRPr="00C243CD">
        <w:rPr>
          <w:rFonts w:ascii="Cambria" w:hAnsi="Cambria"/>
          <w:lang w:val="en-GB"/>
        </w:rPr>
        <w:t xml:space="preserve"> share</w:t>
      </w:r>
      <w:r w:rsidRPr="00C243CD">
        <w:rPr>
          <w:rFonts w:ascii="Cambria" w:hAnsi="Cambria"/>
          <w:lang w:val="en-GB"/>
        </w:rPr>
        <w:t xml:space="preserve"> capital instruments</w:t>
      </w:r>
      <w:r w:rsidR="003A24E8" w:rsidRPr="00C243CD">
        <w:rPr>
          <w:rFonts w:ascii="Cambria" w:hAnsi="Cambria"/>
          <w:lang w:val="en-GB"/>
        </w:rPr>
        <w:t>. Data should be included on the basis of outstanding principal amount</w:t>
      </w:r>
      <w:r w:rsidR="00F42F70" w:rsidRPr="00C243CD">
        <w:rPr>
          <w:rFonts w:ascii="Cambria" w:hAnsi="Cambria"/>
          <w:lang w:val="en-GB"/>
        </w:rPr>
        <w:t xml:space="preserve"> </w:t>
      </w:r>
      <w:r w:rsidRPr="00C243CD">
        <w:rPr>
          <w:rFonts w:ascii="Cambria" w:hAnsi="Cambria"/>
          <w:lang w:val="en-GB"/>
        </w:rPr>
        <w:t>by counterparty. If counterparties and their respective outstanding amounts are not available (e.g. instruments traded on platforms), the total issue size, taking into account the split by issuance dates, should be considered instead.</w:t>
      </w:r>
    </w:p>
    <w:p w14:paraId="6E24A58E" w14:textId="77777777" w:rsidR="005C174B" w:rsidRDefault="005C174B" w:rsidP="005C174B">
      <w:pPr>
        <w:rPr>
          <w:rFonts w:ascii="Cambria" w:hAnsi="Cambria"/>
          <w:lang w:val="en-GB"/>
        </w:rPr>
      </w:pPr>
      <w:r w:rsidRPr="00C243CD">
        <w:rPr>
          <w:rFonts w:ascii="Cambria" w:hAnsi="Cambria"/>
          <w:lang w:val="en-GB"/>
        </w:rPr>
        <w:t>For the purposes of this table, liabilities have to be reported on a transaction basis, i.e. each transaction reported as an individual line item.</w:t>
      </w:r>
      <w:r w:rsidR="00E92F58" w:rsidRPr="00C243CD">
        <w:rPr>
          <w:rFonts w:ascii="Cambria" w:hAnsi="Cambria"/>
          <w:lang w:val="en-GB"/>
        </w:rPr>
        <w:t xml:space="preserve"> No reporting thresholds are applicable in this respect.</w:t>
      </w:r>
    </w:p>
    <w:p w14:paraId="502370D2" w14:textId="46B14815" w:rsidR="00696BC4" w:rsidRPr="00C243CD" w:rsidRDefault="00696BC4" w:rsidP="005C174B">
      <w:pPr>
        <w:rPr>
          <w:rFonts w:ascii="Cambria" w:hAnsi="Cambria"/>
          <w:lang w:val="en-GB"/>
        </w:rPr>
      </w:pPr>
    </w:p>
    <w:p w14:paraId="0EF01A4C" w14:textId="7DCC23C4" w:rsidR="004F470B" w:rsidRPr="00C243CD" w:rsidRDefault="00DA3A5D" w:rsidP="004F470B">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10 - N°</w:t>
      </w:r>
    </w:p>
    <w:p w14:paraId="2C2D83B1" w14:textId="77777777" w:rsidR="004F470B" w:rsidRPr="00C243CD" w:rsidRDefault="004F470B" w:rsidP="004F470B">
      <w:pPr>
        <w:rPr>
          <w:rFonts w:ascii="Cambria" w:hAnsi="Cambria"/>
          <w:lang w:val="en-GB"/>
        </w:rPr>
      </w:pPr>
      <w:r w:rsidRPr="00C243CD">
        <w:rPr>
          <w:rFonts w:ascii="Cambria" w:hAnsi="Cambria"/>
          <w:lang w:val="en-GB"/>
        </w:rPr>
        <w:t>Unique number/primary key to identify the line items.</w:t>
      </w:r>
    </w:p>
    <w:p w14:paraId="6921EBF9" w14:textId="5CBEF9D5" w:rsidR="00DA5C81"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2</w:t>
      </w:r>
      <w:r w:rsidR="00DA5C81" w:rsidRPr="00C243CD">
        <w:rPr>
          <w:rFonts w:ascii="Cambria" w:hAnsi="Cambria"/>
          <w:lang w:val="en-GB"/>
        </w:rPr>
        <w:t>0 - Line</w:t>
      </w:r>
    </w:p>
    <w:p w14:paraId="5566A505" w14:textId="77777777" w:rsidR="00FC47FC" w:rsidRPr="00C243CD" w:rsidRDefault="00E62E61" w:rsidP="00FC47FC">
      <w:pPr>
        <w:rPr>
          <w:rFonts w:ascii="Cambria" w:hAnsi="Cambria"/>
          <w:lang w:val="en-GB"/>
        </w:rPr>
      </w:pPr>
      <w:r w:rsidRPr="00C243CD">
        <w:rPr>
          <w:rFonts w:ascii="Cambria" w:hAnsi="Cambria"/>
          <w:lang w:val="en-GB"/>
        </w:rPr>
        <w:t>For each instrument, a reconciliation with the categories of liabilities of the liability structure in T01.00 has to be provided at the level of maturity from a predefined list of values.</w:t>
      </w:r>
    </w:p>
    <w:p w14:paraId="5DD58A6E" w14:textId="39AD41DD" w:rsidR="00DA5C81"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3</w:t>
      </w:r>
      <w:r w:rsidR="00DA5C81" w:rsidRPr="00C243CD">
        <w:rPr>
          <w:rFonts w:ascii="Cambria" w:hAnsi="Cambria"/>
          <w:lang w:val="en-GB"/>
        </w:rPr>
        <w:t>0 - Column</w:t>
      </w:r>
    </w:p>
    <w:p w14:paraId="642C8117" w14:textId="77777777" w:rsidR="00A473CC" w:rsidRPr="00C243CD" w:rsidRDefault="00DA5C81" w:rsidP="009474F1">
      <w:pPr>
        <w:rPr>
          <w:rFonts w:ascii="Cambria" w:hAnsi="Cambria"/>
          <w:lang w:val="en-GB"/>
        </w:rPr>
      </w:pPr>
      <w:r w:rsidRPr="00C243CD">
        <w:rPr>
          <w:rFonts w:ascii="Cambria" w:hAnsi="Cambria"/>
          <w:lang w:val="en-GB"/>
        </w:rPr>
        <w:t xml:space="preserve">For each instrument, </w:t>
      </w:r>
      <w:r w:rsidR="00F42F70" w:rsidRPr="00C243CD">
        <w:rPr>
          <w:rFonts w:ascii="Cambria" w:hAnsi="Cambria"/>
          <w:lang w:val="en-GB"/>
        </w:rPr>
        <w:t>a reconciliation with the counterparty class in T01.00 to which the liability is owed</w:t>
      </w:r>
      <w:r w:rsidR="00A473CC" w:rsidRPr="00C243CD">
        <w:rPr>
          <w:rFonts w:ascii="Cambria" w:hAnsi="Cambria"/>
          <w:lang w:val="en-GB"/>
        </w:rPr>
        <w:t xml:space="preserve"> has to be provided </w:t>
      </w:r>
      <w:r w:rsidR="00E62E61" w:rsidRPr="00C243CD">
        <w:rPr>
          <w:rFonts w:ascii="Cambria" w:hAnsi="Cambria"/>
          <w:lang w:val="en-GB"/>
        </w:rPr>
        <w:t>f</w:t>
      </w:r>
      <w:r w:rsidR="00FC47FC" w:rsidRPr="00C243CD">
        <w:rPr>
          <w:rFonts w:ascii="Cambria" w:hAnsi="Cambria"/>
          <w:lang w:val="en-GB"/>
        </w:rPr>
        <w:t>rom predefined list of values.</w:t>
      </w:r>
    </w:p>
    <w:p w14:paraId="1A61351C" w14:textId="250CE051" w:rsidR="00D202BC"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4</w:t>
      </w:r>
      <w:r w:rsidR="00D202BC" w:rsidRPr="00C243CD">
        <w:rPr>
          <w:rFonts w:ascii="Cambria" w:hAnsi="Cambria"/>
          <w:lang w:val="en-GB"/>
        </w:rPr>
        <w:t>0 - Insolvency Ranking</w:t>
      </w:r>
    </w:p>
    <w:p w14:paraId="1E3F4047" w14:textId="77777777" w:rsidR="00D202BC" w:rsidRPr="00C243CD" w:rsidRDefault="00D202BC" w:rsidP="009474F1">
      <w:pPr>
        <w:rPr>
          <w:rFonts w:ascii="Cambria" w:hAnsi="Cambria"/>
          <w:lang w:val="en-GB"/>
        </w:rPr>
      </w:pPr>
      <w:r w:rsidRPr="00C243CD">
        <w:rPr>
          <w:rFonts w:ascii="Cambria" w:hAnsi="Cambria"/>
          <w:lang w:val="en-GB"/>
        </w:rPr>
        <w:t xml:space="preserve">Identified ranking in line with </w:t>
      </w:r>
      <w:r w:rsidR="00E62E61" w:rsidRPr="00C243CD">
        <w:rPr>
          <w:rFonts w:ascii="Cambria" w:hAnsi="Cambria"/>
          <w:lang w:val="en-GB"/>
        </w:rPr>
        <w:t xml:space="preserve">Part 1, Section 6 </w:t>
      </w:r>
      <w:r w:rsidRPr="00C243CD">
        <w:rPr>
          <w:rFonts w:ascii="Cambria" w:hAnsi="Cambria"/>
          <w:lang w:val="en-GB"/>
        </w:rPr>
        <w:t xml:space="preserve">of the </w:t>
      </w:r>
      <w:r w:rsidR="00341874" w:rsidRPr="00C243CD">
        <w:rPr>
          <w:rFonts w:ascii="Cambria" w:hAnsi="Cambria"/>
          <w:lang w:val="en-GB"/>
        </w:rPr>
        <w:t>guidance</w:t>
      </w:r>
      <w:r w:rsidRPr="00C243CD">
        <w:rPr>
          <w:rFonts w:ascii="Cambria" w:hAnsi="Cambria"/>
          <w:lang w:val="en-GB"/>
        </w:rPr>
        <w:t>.</w:t>
      </w:r>
    </w:p>
    <w:p w14:paraId="7B9193BE" w14:textId="7A0650F9"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5</w:t>
      </w:r>
      <w:r w:rsidR="002B5DBA" w:rsidRPr="00C243CD">
        <w:rPr>
          <w:rFonts w:ascii="Cambria" w:hAnsi="Cambria"/>
          <w:lang w:val="en-GB"/>
        </w:rPr>
        <w:t xml:space="preserve">0 </w:t>
      </w:r>
      <w:r w:rsidR="00696BC4">
        <w:rPr>
          <w:rFonts w:ascii="Cambria" w:hAnsi="Cambria"/>
          <w:lang w:val="en-GB"/>
        </w:rPr>
        <w:t>–</w:t>
      </w:r>
      <w:r w:rsidR="002B5DBA" w:rsidRPr="00C243CD">
        <w:rPr>
          <w:rFonts w:ascii="Cambria" w:hAnsi="Cambria"/>
          <w:lang w:val="en-GB"/>
        </w:rPr>
        <w:t xml:space="preserve"> ISIN</w:t>
      </w:r>
    </w:p>
    <w:p w14:paraId="1ADDE9D2" w14:textId="77777777" w:rsidR="002B5DBA" w:rsidRPr="00C243CD" w:rsidRDefault="002B5DBA" w:rsidP="009474F1">
      <w:pPr>
        <w:rPr>
          <w:rFonts w:ascii="Cambria" w:hAnsi="Cambria"/>
          <w:lang w:val="en-GB"/>
        </w:rPr>
      </w:pPr>
      <w:r w:rsidRPr="00C243CD">
        <w:rPr>
          <w:rFonts w:ascii="Cambria" w:hAnsi="Cambria"/>
          <w:lang w:val="en-GB"/>
        </w:rPr>
        <w:t>The unique 12-digit identifier of a security.</w:t>
      </w:r>
      <w:r w:rsidR="002671C0" w:rsidRPr="00C243CD">
        <w:rPr>
          <w:rFonts w:ascii="Cambria" w:hAnsi="Cambria"/>
          <w:lang w:val="en-GB"/>
        </w:rPr>
        <w:t xml:space="preserve"> If and only if an ISIN is not available, an internal identifier can be reported instead.</w:t>
      </w:r>
    </w:p>
    <w:p w14:paraId="4E5FD243" w14:textId="5F5D6095"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6</w:t>
      </w:r>
      <w:r w:rsidR="002B5DBA" w:rsidRPr="00C243CD">
        <w:rPr>
          <w:rFonts w:ascii="Cambria" w:hAnsi="Cambria"/>
          <w:lang w:val="en-GB"/>
        </w:rPr>
        <w:t>0 - Type of Instrument</w:t>
      </w:r>
    </w:p>
    <w:p w14:paraId="4D123E4A" w14:textId="77777777" w:rsidR="002B5DBA" w:rsidRPr="00C243CD" w:rsidRDefault="002B5DBA" w:rsidP="00FC47FC">
      <w:pPr>
        <w:rPr>
          <w:rFonts w:ascii="Cambria" w:hAnsi="Cambria"/>
          <w:lang w:val="en-GB"/>
        </w:rPr>
      </w:pPr>
      <w:r w:rsidRPr="00C243CD">
        <w:rPr>
          <w:rFonts w:ascii="Cambria" w:hAnsi="Cambria"/>
          <w:lang w:val="en-GB"/>
        </w:rPr>
        <w:t xml:space="preserve">Identification of the type of instrument, </w:t>
      </w:r>
      <w:r w:rsidR="00FC47FC" w:rsidRPr="00C243CD">
        <w:rPr>
          <w:rFonts w:ascii="Cambria" w:hAnsi="Cambria"/>
          <w:lang w:val="en-GB"/>
        </w:rPr>
        <w:t>either ‘Covered Bond’, ‘Secured Bond’, ‘Certificate of Deposit’, ‘Structured Note’, ‘Bond’, ‘Share’ or ‘Other’ from a predefined list.</w:t>
      </w:r>
    </w:p>
    <w:p w14:paraId="4FEC7094" w14:textId="1C4F2559"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7</w:t>
      </w:r>
      <w:r w:rsidR="002B5DBA" w:rsidRPr="00C243CD">
        <w:rPr>
          <w:rFonts w:ascii="Cambria" w:hAnsi="Cambria"/>
          <w:lang w:val="en-GB"/>
        </w:rPr>
        <w:t>0 - Governing Law</w:t>
      </w:r>
    </w:p>
    <w:p w14:paraId="3CA7B37C" w14:textId="1387A45D" w:rsidR="002B5DBA" w:rsidRPr="00C243CD" w:rsidRDefault="002B5DBA" w:rsidP="009474F1">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t>
      </w:r>
      <w:r w:rsidR="00F64A95" w:rsidRPr="00C243CD">
        <w:rPr>
          <w:rFonts w:ascii="Cambria" w:hAnsi="Cambria"/>
          <w:lang w:val="en-GB"/>
        </w:rPr>
        <w:t>whose</w:t>
      </w:r>
      <w:r w:rsidRPr="00C243CD">
        <w:rPr>
          <w:rFonts w:ascii="Cambria" w:hAnsi="Cambria"/>
          <w:lang w:val="en-GB"/>
        </w:rPr>
        <w:t xml:space="preserve"> law governs the instrument.</w:t>
      </w:r>
    </w:p>
    <w:p w14:paraId="089D6E19" w14:textId="3ED18845"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8</w:t>
      </w:r>
      <w:r w:rsidR="002B5DBA" w:rsidRPr="00C243CD">
        <w:rPr>
          <w:rFonts w:ascii="Cambria" w:hAnsi="Cambria"/>
          <w:lang w:val="en-GB"/>
        </w:rPr>
        <w:t>0 - If Third Country Law</w:t>
      </w:r>
      <w:r w:rsidR="009E7FAA" w:rsidRPr="00C243CD">
        <w:rPr>
          <w:rFonts w:ascii="Cambria" w:hAnsi="Cambria"/>
          <w:lang w:val="en-GB"/>
        </w:rPr>
        <w:t xml:space="preserve"> or UK law</w:t>
      </w:r>
      <w:r w:rsidR="009E7FAA" w:rsidRPr="00C243CD">
        <w:rPr>
          <w:rStyle w:val="FootnoteReference"/>
          <w:rFonts w:ascii="Cambria" w:hAnsi="Cambria"/>
          <w:lang w:val="en-GB"/>
        </w:rPr>
        <w:footnoteReference w:id="13"/>
      </w:r>
      <w:r w:rsidR="002B5DBA" w:rsidRPr="00C243CD">
        <w:rPr>
          <w:rFonts w:ascii="Cambria" w:hAnsi="Cambria"/>
          <w:lang w:val="en-GB"/>
        </w:rPr>
        <w:t>, Contractual Recognition</w:t>
      </w:r>
    </w:p>
    <w:p w14:paraId="1A956497" w14:textId="0C797203" w:rsidR="00C51450" w:rsidRPr="00C243CD" w:rsidRDefault="00C51450" w:rsidP="00C51450">
      <w:pPr>
        <w:rPr>
          <w:rFonts w:ascii="Cambria" w:hAnsi="Cambria"/>
          <w:lang w:val="en-GB"/>
        </w:rPr>
      </w:pPr>
      <w:r w:rsidRPr="00C243CD">
        <w:rPr>
          <w:rFonts w:ascii="Cambria" w:hAnsi="Cambria"/>
          <w:lang w:val="en-GB"/>
        </w:rPr>
        <w:t>Identification of contractual provisions for the recognition of bail-in powers</w:t>
      </w:r>
      <w:r w:rsidR="00A32783" w:rsidRPr="00C243CD">
        <w:rPr>
          <w:rFonts w:ascii="Cambria" w:hAnsi="Cambria"/>
          <w:lang w:val="en-GB"/>
        </w:rPr>
        <w:t xml:space="preserve"> in line with article 55 of the BRRD</w:t>
      </w:r>
      <w:r w:rsidRPr="00C243CD">
        <w:rPr>
          <w:rFonts w:ascii="Cambria" w:hAnsi="Cambria"/>
          <w:lang w:val="en-GB"/>
        </w:rPr>
        <w:t>, either ‘Yes</w:t>
      </w:r>
      <w:r w:rsidR="00563F37" w:rsidRPr="00563F37">
        <w:rPr>
          <w:rFonts w:ascii="Cambria" w:hAnsi="Cambria"/>
          <w:lang w:val="en-GB"/>
        </w:rPr>
        <w:t xml:space="preserve"> (Contractual recognition of bail-in powers)</w:t>
      </w:r>
      <w:r w:rsidRPr="00C243CD">
        <w:rPr>
          <w:rFonts w:ascii="Cambria" w:hAnsi="Cambria"/>
          <w:lang w:val="en-GB"/>
        </w:rPr>
        <w:t>’, ‘No</w:t>
      </w:r>
      <w:r w:rsidR="00563F37" w:rsidRPr="00563F37">
        <w:rPr>
          <w:rFonts w:ascii="Cambria" w:hAnsi="Cambria"/>
          <w:lang w:val="en-GB"/>
        </w:rPr>
        <w:t xml:space="preserve"> (Contractual recognition of bail-in powers)</w:t>
      </w:r>
      <w:r w:rsidRPr="00C243CD">
        <w:rPr>
          <w:rFonts w:ascii="Cambria" w:hAnsi="Cambria"/>
          <w:lang w:val="en-GB"/>
        </w:rPr>
        <w:t>’ or ‘</w:t>
      </w:r>
      <w:r w:rsidR="00D9361E" w:rsidRPr="00C243CD">
        <w:rPr>
          <w:rFonts w:ascii="Cambria" w:hAnsi="Cambria"/>
          <w:lang w:val="en-GB"/>
        </w:rPr>
        <w:t xml:space="preserve">Not </w:t>
      </w:r>
      <w:r w:rsidR="0018198C" w:rsidRPr="00C243CD">
        <w:rPr>
          <w:rFonts w:ascii="Cambria" w:hAnsi="Cambria"/>
          <w:lang w:val="en-GB"/>
        </w:rPr>
        <w:t>A</w:t>
      </w:r>
      <w:r w:rsidR="00D9361E" w:rsidRPr="00C243CD">
        <w:rPr>
          <w:rFonts w:ascii="Cambria" w:hAnsi="Cambria"/>
          <w:lang w:val="en-GB"/>
        </w:rPr>
        <w:t>pplicable</w:t>
      </w:r>
      <w:r w:rsidR="00563F37" w:rsidRPr="00563F37">
        <w:rPr>
          <w:rFonts w:ascii="Cambria" w:hAnsi="Cambria"/>
          <w:lang w:val="en-GB"/>
        </w:rPr>
        <w:t xml:space="preserve"> (Contractual recognition of bail-in powers)</w:t>
      </w:r>
      <w:r w:rsidRPr="00C243CD">
        <w:rPr>
          <w:rFonts w:ascii="Cambria" w:hAnsi="Cambria"/>
          <w:lang w:val="en-GB"/>
        </w:rPr>
        <w:t>’</w:t>
      </w:r>
      <w:r w:rsidR="00FC47FC" w:rsidRPr="00C243CD">
        <w:rPr>
          <w:rFonts w:ascii="Cambria" w:hAnsi="Cambria"/>
          <w:lang w:val="en-GB"/>
        </w:rPr>
        <w:t xml:space="preserve"> from a predefined list</w:t>
      </w:r>
      <w:r w:rsidRPr="00C243CD">
        <w:rPr>
          <w:rFonts w:ascii="Cambria" w:hAnsi="Cambria"/>
          <w:lang w:val="en-GB"/>
        </w:rPr>
        <w:t>.</w:t>
      </w:r>
    </w:p>
    <w:p w14:paraId="7040AE79" w14:textId="23588C6B" w:rsidR="002B5DBA"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9</w:t>
      </w:r>
      <w:r w:rsidR="002B5DBA" w:rsidRPr="00C243CD">
        <w:rPr>
          <w:rFonts w:ascii="Cambria" w:hAnsi="Cambria"/>
          <w:lang w:val="en-GB"/>
        </w:rPr>
        <w:t xml:space="preserve">0 </w:t>
      </w:r>
      <w:r w:rsidR="00696BC4">
        <w:rPr>
          <w:rFonts w:ascii="Cambria" w:hAnsi="Cambria"/>
          <w:lang w:val="en-GB"/>
        </w:rPr>
        <w:t>–</w:t>
      </w:r>
      <w:r w:rsidR="002B5DBA" w:rsidRPr="00C243CD">
        <w:rPr>
          <w:rFonts w:ascii="Cambria" w:hAnsi="Cambria"/>
          <w:lang w:val="en-GB"/>
        </w:rPr>
        <w:t xml:space="preserve"> Currency</w:t>
      </w:r>
    </w:p>
    <w:p w14:paraId="7C724BF1" w14:textId="67464976" w:rsidR="002B5DBA" w:rsidRPr="00C243CD" w:rsidRDefault="002B5DBA" w:rsidP="009474F1">
      <w:pPr>
        <w:rPr>
          <w:rFonts w:ascii="Cambria" w:hAnsi="Cambria"/>
          <w:lang w:val="en-GB"/>
        </w:rPr>
      </w:pPr>
      <w:r w:rsidRPr="00C243CD">
        <w:rPr>
          <w:rFonts w:ascii="Cambria" w:hAnsi="Cambria"/>
          <w:lang w:val="en-GB"/>
        </w:rPr>
        <w:t>The currency in which the instrument is issued.</w:t>
      </w:r>
    </w:p>
    <w:p w14:paraId="47D863A5" w14:textId="70DC6F65" w:rsidR="002B5DBA" w:rsidRPr="00C243CD" w:rsidRDefault="00DA3A5D" w:rsidP="009474F1">
      <w:pPr>
        <w:pStyle w:val="Heading4"/>
        <w:rPr>
          <w:rFonts w:ascii="Cambria" w:hAnsi="Cambria"/>
          <w:lang w:val="en-GB"/>
        </w:rPr>
      </w:pPr>
      <w:r w:rsidRPr="00C243CD">
        <w:rPr>
          <w:rFonts w:ascii="Cambria" w:hAnsi="Cambria"/>
          <w:lang w:val="en-GB"/>
        </w:rPr>
        <w:t>c01</w:t>
      </w:r>
      <w:r w:rsidR="004F470B" w:rsidRPr="00C243CD">
        <w:rPr>
          <w:rFonts w:ascii="Cambria" w:hAnsi="Cambria"/>
          <w:lang w:val="en-GB"/>
        </w:rPr>
        <w:t>0</w:t>
      </w:r>
      <w:r w:rsidR="002B5DBA" w:rsidRPr="00C243CD">
        <w:rPr>
          <w:rFonts w:ascii="Cambria" w:hAnsi="Cambria"/>
          <w:lang w:val="en-GB"/>
        </w:rPr>
        <w:t xml:space="preserve">0 - </w:t>
      </w:r>
      <w:r w:rsidR="00E54726" w:rsidRPr="00C243CD">
        <w:rPr>
          <w:rFonts w:ascii="Cambria" w:hAnsi="Cambria"/>
          <w:lang w:val="en-GB"/>
        </w:rPr>
        <w:t>Original Amount Issued</w:t>
      </w:r>
    </w:p>
    <w:p w14:paraId="53739DF6" w14:textId="77777777" w:rsidR="002B5DBA" w:rsidRPr="00C243CD" w:rsidRDefault="002B5DBA" w:rsidP="009474F1">
      <w:pPr>
        <w:rPr>
          <w:rFonts w:ascii="Cambria" w:hAnsi="Cambria"/>
          <w:lang w:val="en-GB"/>
        </w:rPr>
      </w:pPr>
      <w:r w:rsidRPr="00C243CD">
        <w:rPr>
          <w:rFonts w:ascii="Cambria" w:hAnsi="Cambria"/>
          <w:lang w:val="en-GB"/>
        </w:rPr>
        <w:t>The EUR (counter) value of the total outstanding issue size of the instrument, irrespective of the effective issuance dates</w:t>
      </w:r>
      <w:r w:rsidR="00140B80" w:rsidRPr="00C243CD">
        <w:rPr>
          <w:rFonts w:ascii="Cambria" w:hAnsi="Cambria"/>
          <w:lang w:val="en-GB"/>
        </w:rPr>
        <w:t>, e.g. the total nominal amount/face value of a specific issuance programme</w:t>
      </w:r>
      <w:r w:rsidRPr="00C243CD">
        <w:rPr>
          <w:rFonts w:ascii="Cambria" w:hAnsi="Cambria"/>
          <w:lang w:val="en-GB"/>
        </w:rPr>
        <w:t>.</w:t>
      </w:r>
      <w:r w:rsidR="00140B80" w:rsidRPr="00C243CD">
        <w:rPr>
          <w:rFonts w:ascii="Cambria" w:hAnsi="Cambria"/>
          <w:lang w:val="en-GB"/>
        </w:rPr>
        <w:t xml:space="preserve"> For shares, it should reflect the face value/carrying amount of the shares.</w:t>
      </w:r>
    </w:p>
    <w:p w14:paraId="157FCB39" w14:textId="170FAA7B" w:rsidR="002B5DBA" w:rsidRPr="00C243CD" w:rsidRDefault="00DA3A5D" w:rsidP="009474F1">
      <w:pPr>
        <w:pStyle w:val="Heading4"/>
        <w:rPr>
          <w:rFonts w:ascii="Cambria" w:hAnsi="Cambria"/>
          <w:lang w:val="en-GB"/>
        </w:rPr>
      </w:pPr>
      <w:r w:rsidRPr="00C243CD">
        <w:rPr>
          <w:rFonts w:ascii="Cambria" w:hAnsi="Cambria"/>
          <w:lang w:val="en-GB"/>
        </w:rPr>
        <w:lastRenderedPageBreak/>
        <w:t>c01</w:t>
      </w:r>
      <w:r w:rsidR="004F470B" w:rsidRPr="00C243CD">
        <w:rPr>
          <w:rFonts w:ascii="Cambria" w:hAnsi="Cambria"/>
          <w:lang w:val="en-GB"/>
        </w:rPr>
        <w:t>1</w:t>
      </w:r>
      <w:r w:rsidR="002B5DBA" w:rsidRPr="00C243CD">
        <w:rPr>
          <w:rFonts w:ascii="Cambria" w:hAnsi="Cambria"/>
          <w:lang w:val="en-GB"/>
        </w:rPr>
        <w:t>0 - Outstanding Principal Amount</w:t>
      </w:r>
    </w:p>
    <w:p w14:paraId="62A40FEA" w14:textId="0EBEEF9D" w:rsidR="002B5DBA" w:rsidRPr="00C243CD" w:rsidRDefault="002B5DBA" w:rsidP="009474F1">
      <w:pPr>
        <w:rPr>
          <w:rFonts w:ascii="Cambria" w:hAnsi="Cambria"/>
          <w:lang w:val="en-GB"/>
        </w:rPr>
      </w:pPr>
      <w:r w:rsidRPr="00C243CD">
        <w:rPr>
          <w:rFonts w:ascii="Cambria" w:hAnsi="Cambria"/>
          <w:lang w:val="en-GB"/>
        </w:rPr>
        <w:t xml:space="preserve">The EUR (counter) value of the outstanding principal amount of the instrument held by the counterparty specified in column </w:t>
      </w:r>
      <w:r w:rsidR="00471BA2" w:rsidRPr="00C243CD">
        <w:rPr>
          <w:rFonts w:ascii="Cambria" w:hAnsi="Cambria"/>
          <w:lang w:val="en-GB"/>
        </w:rPr>
        <w:t>c</w:t>
      </w:r>
      <w:r w:rsidRPr="00C243CD">
        <w:rPr>
          <w:rFonts w:ascii="Cambria" w:hAnsi="Cambria"/>
          <w:lang w:val="en-GB"/>
        </w:rPr>
        <w:t>2</w:t>
      </w:r>
      <w:r w:rsidR="00471BA2" w:rsidRPr="00C243CD">
        <w:rPr>
          <w:rFonts w:ascii="Cambria" w:hAnsi="Cambria"/>
          <w:lang w:val="en-GB"/>
        </w:rPr>
        <w:t>1</w:t>
      </w:r>
      <w:r w:rsidRPr="00C243CD">
        <w:rPr>
          <w:rFonts w:ascii="Cambria" w:hAnsi="Cambria"/>
          <w:lang w:val="en-GB"/>
        </w:rPr>
        <w:t xml:space="preserve">0. If this is N/A because the creditors cannot be identified, the outstanding amounts can be grouped by issuance date as specified in column </w:t>
      </w:r>
      <w:r w:rsidR="00DA3A5D" w:rsidRPr="00C243CD">
        <w:rPr>
          <w:rFonts w:ascii="Cambria" w:hAnsi="Cambria"/>
          <w:lang w:val="en-GB"/>
        </w:rPr>
        <w:t>c01</w:t>
      </w:r>
      <w:r w:rsidR="00471BA2" w:rsidRPr="00C243CD">
        <w:rPr>
          <w:rFonts w:ascii="Cambria" w:hAnsi="Cambria"/>
          <w:lang w:val="en-GB"/>
        </w:rPr>
        <w:t>5</w:t>
      </w:r>
      <w:r w:rsidRPr="00C243CD">
        <w:rPr>
          <w:rFonts w:ascii="Cambria" w:hAnsi="Cambria"/>
          <w:lang w:val="en-GB"/>
        </w:rPr>
        <w:t>0.</w:t>
      </w:r>
      <w:r w:rsidR="00140B80" w:rsidRPr="00C243CD">
        <w:rPr>
          <w:rFonts w:ascii="Cambria" w:hAnsi="Cambria"/>
          <w:lang w:val="en-GB"/>
        </w:rPr>
        <w:t xml:space="preserve"> For shares, this amount includes reserves, in line with the guidance related to T01.00-</w:t>
      </w:r>
      <w:r w:rsidR="00DA3A5D" w:rsidRPr="00C243CD">
        <w:rPr>
          <w:rFonts w:ascii="Cambria" w:hAnsi="Cambria"/>
          <w:lang w:val="en-GB"/>
        </w:rPr>
        <w:t>r05</w:t>
      </w:r>
      <w:r w:rsidR="00140B80" w:rsidRPr="00C243CD">
        <w:rPr>
          <w:rFonts w:ascii="Cambria" w:hAnsi="Cambria"/>
          <w:lang w:val="en-GB"/>
        </w:rPr>
        <w:t>11.</w:t>
      </w:r>
    </w:p>
    <w:p w14:paraId="4B03656A" w14:textId="31D23CD1" w:rsidR="00140B80" w:rsidRPr="00C243CD" w:rsidRDefault="00140B80" w:rsidP="009474F1">
      <w:pPr>
        <w:rPr>
          <w:rFonts w:ascii="Cambria" w:hAnsi="Cambria"/>
          <w:lang w:val="en-GB"/>
        </w:rPr>
      </w:pPr>
      <w:r w:rsidRPr="00C243CD">
        <w:rPr>
          <w:rFonts w:ascii="Cambria" w:hAnsi="Cambria"/>
          <w:lang w:val="en-GB"/>
        </w:rPr>
        <w:t xml:space="preserve">The differences between </w:t>
      </w:r>
      <w:r w:rsidR="00DA3A5D" w:rsidRPr="00C243CD">
        <w:rPr>
          <w:rFonts w:ascii="Cambria" w:hAnsi="Cambria"/>
          <w:lang w:val="en-GB"/>
        </w:rPr>
        <w:t>c01</w:t>
      </w:r>
      <w:r w:rsidRPr="00C243CD">
        <w:rPr>
          <w:rFonts w:ascii="Cambria" w:hAnsi="Cambria"/>
          <w:lang w:val="en-GB"/>
        </w:rPr>
        <w:t xml:space="preserve">00 and </w:t>
      </w:r>
      <w:r w:rsidR="00DA3A5D" w:rsidRPr="00C243CD">
        <w:rPr>
          <w:rFonts w:ascii="Cambria" w:hAnsi="Cambria"/>
          <w:lang w:val="en-GB"/>
        </w:rPr>
        <w:t>c01</w:t>
      </w:r>
      <w:r w:rsidRPr="00C243CD">
        <w:rPr>
          <w:rFonts w:ascii="Cambria" w:hAnsi="Cambria"/>
          <w:lang w:val="en-GB"/>
        </w:rPr>
        <w:t>10 of this table can for example be due to partial buybacks of the instrument, amortising instruments, etc.</w:t>
      </w:r>
    </w:p>
    <w:p w14:paraId="5C567271" w14:textId="1F73BD35" w:rsidR="002B5DBA" w:rsidRPr="00C243CD" w:rsidRDefault="00DA3A5D" w:rsidP="009474F1">
      <w:pPr>
        <w:pStyle w:val="Heading4"/>
        <w:rPr>
          <w:rFonts w:ascii="Cambria" w:hAnsi="Cambria"/>
          <w:lang w:val="en-GB"/>
        </w:rPr>
      </w:pPr>
      <w:r w:rsidRPr="00C243CD">
        <w:rPr>
          <w:rFonts w:ascii="Cambria" w:hAnsi="Cambria"/>
          <w:lang w:val="en-GB"/>
        </w:rPr>
        <w:t>c01</w:t>
      </w:r>
      <w:r w:rsidR="004F470B" w:rsidRPr="00C243CD">
        <w:rPr>
          <w:rFonts w:ascii="Cambria" w:hAnsi="Cambria"/>
          <w:lang w:val="en-GB"/>
        </w:rPr>
        <w:t>2</w:t>
      </w:r>
      <w:r w:rsidR="002B5DBA" w:rsidRPr="00C243CD">
        <w:rPr>
          <w:rFonts w:ascii="Cambria" w:hAnsi="Cambria"/>
          <w:lang w:val="en-GB"/>
        </w:rPr>
        <w:t>0 - Accrued Interest</w:t>
      </w:r>
    </w:p>
    <w:p w14:paraId="7B713835" w14:textId="77777777" w:rsidR="002B5DBA" w:rsidRPr="00C243CD" w:rsidRDefault="002B5DBA" w:rsidP="009474F1">
      <w:pPr>
        <w:rPr>
          <w:rFonts w:ascii="Cambria" w:hAnsi="Cambria"/>
          <w:lang w:val="en-GB"/>
        </w:rPr>
      </w:pPr>
      <w:r w:rsidRPr="00C243CD">
        <w:rPr>
          <w:rFonts w:ascii="Cambria" w:hAnsi="Cambria"/>
          <w:lang w:val="en-GB"/>
        </w:rPr>
        <w:t>The EUR (counter) value of the outstanding accrued interest on the instrument.</w:t>
      </w:r>
    </w:p>
    <w:p w14:paraId="41863D51" w14:textId="2B9C3742"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3</w:t>
      </w:r>
      <w:r w:rsidR="002B5DBA" w:rsidRPr="00C243CD">
        <w:rPr>
          <w:rFonts w:ascii="Cambria" w:hAnsi="Cambria"/>
          <w:lang w:val="en-GB"/>
        </w:rPr>
        <w:t>0 - Coupon Type</w:t>
      </w:r>
    </w:p>
    <w:p w14:paraId="55EB3433" w14:textId="77777777" w:rsidR="002B5DBA" w:rsidRPr="00C243CD" w:rsidRDefault="002B5DBA" w:rsidP="00FC47FC">
      <w:pPr>
        <w:rPr>
          <w:rFonts w:ascii="Cambria" w:hAnsi="Cambria"/>
          <w:lang w:val="en-GB"/>
        </w:rPr>
      </w:pPr>
      <w:r w:rsidRPr="00C243CD">
        <w:rPr>
          <w:rFonts w:ascii="Cambria" w:hAnsi="Cambria"/>
          <w:lang w:val="en-GB"/>
        </w:rPr>
        <w:t xml:space="preserve">Identification of the </w:t>
      </w:r>
      <w:r w:rsidR="00C15796" w:rsidRPr="00C243CD">
        <w:rPr>
          <w:rFonts w:ascii="Cambria" w:hAnsi="Cambria"/>
          <w:lang w:val="en-GB"/>
        </w:rPr>
        <w:t xml:space="preserve">current </w:t>
      </w:r>
      <w:r w:rsidRPr="00C243CD">
        <w:rPr>
          <w:rFonts w:ascii="Cambria" w:hAnsi="Cambria"/>
          <w:lang w:val="en-GB"/>
        </w:rPr>
        <w:t>type of coupon payment</w:t>
      </w:r>
      <w:r w:rsidR="00FC47FC" w:rsidRPr="00C243CD">
        <w:rPr>
          <w:rFonts w:ascii="Cambria" w:hAnsi="Cambria"/>
          <w:lang w:val="en-GB"/>
        </w:rPr>
        <w:t>, either ‘Fixed’</w:t>
      </w:r>
      <w:r w:rsidR="0018198C" w:rsidRPr="00C243CD">
        <w:rPr>
          <w:rFonts w:ascii="Cambria" w:hAnsi="Cambria"/>
          <w:lang w:val="en-GB"/>
        </w:rPr>
        <w:t>;</w:t>
      </w:r>
      <w:r w:rsidR="00FC47FC" w:rsidRPr="00C243CD">
        <w:rPr>
          <w:rFonts w:ascii="Cambria" w:hAnsi="Cambria"/>
          <w:lang w:val="en-GB"/>
        </w:rPr>
        <w:t xml:space="preserve"> ‘Floating’ </w:t>
      </w:r>
      <w:r w:rsidR="0018198C" w:rsidRPr="00C243CD">
        <w:rPr>
          <w:rFonts w:ascii="Cambria" w:hAnsi="Cambria"/>
          <w:lang w:val="en-GB"/>
        </w:rPr>
        <w:t xml:space="preserve">or ‘Zero-coupon’ </w:t>
      </w:r>
      <w:r w:rsidR="00FC47FC" w:rsidRPr="00C243CD">
        <w:rPr>
          <w:rFonts w:ascii="Cambria" w:hAnsi="Cambria"/>
          <w:lang w:val="en-GB"/>
        </w:rPr>
        <w:t>from a predefined list</w:t>
      </w:r>
      <w:r w:rsidRPr="00C243CD">
        <w:rPr>
          <w:rFonts w:ascii="Cambria" w:hAnsi="Cambria"/>
          <w:lang w:val="en-GB"/>
        </w:rPr>
        <w:t>.</w:t>
      </w:r>
    </w:p>
    <w:p w14:paraId="3B3E7852" w14:textId="6D5D3FFE"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4</w:t>
      </w:r>
      <w:r w:rsidR="002B5DBA" w:rsidRPr="00C243CD">
        <w:rPr>
          <w:rFonts w:ascii="Cambria" w:hAnsi="Cambria"/>
          <w:lang w:val="en-GB"/>
        </w:rPr>
        <w:t>0 - Current Coupon</w:t>
      </w:r>
      <w:r w:rsidR="009A4A48" w:rsidRPr="00C243CD">
        <w:rPr>
          <w:rFonts w:ascii="Cambria" w:hAnsi="Cambria"/>
          <w:lang w:val="en-GB"/>
        </w:rPr>
        <w:t xml:space="preserve"> (%)</w:t>
      </w:r>
    </w:p>
    <w:p w14:paraId="669ABBED" w14:textId="77777777" w:rsidR="002B5DBA" w:rsidRPr="00C243CD" w:rsidRDefault="001A3B77" w:rsidP="009474F1">
      <w:pPr>
        <w:rPr>
          <w:rFonts w:ascii="Cambria" w:hAnsi="Cambria"/>
          <w:lang w:val="en-GB"/>
        </w:rPr>
      </w:pPr>
      <w:r w:rsidRPr="00C243CD">
        <w:rPr>
          <w:rFonts w:ascii="Cambria" w:hAnsi="Cambria"/>
          <w:lang w:val="en-GB"/>
        </w:rPr>
        <w:t>L</w:t>
      </w:r>
      <w:r w:rsidR="002B5DBA" w:rsidRPr="00C243CD">
        <w:rPr>
          <w:rFonts w:ascii="Cambria" w:hAnsi="Cambria"/>
          <w:lang w:val="en-GB"/>
        </w:rPr>
        <w:t>evel of the coupon that is applicable to the instrument</w:t>
      </w:r>
      <w:r w:rsidRPr="00C243CD">
        <w:rPr>
          <w:rFonts w:ascii="Cambria" w:hAnsi="Cambria"/>
          <w:lang w:val="en-GB"/>
        </w:rPr>
        <w:t xml:space="preserve"> at the reporting date</w:t>
      </w:r>
      <w:r w:rsidR="002B5DBA" w:rsidRPr="00C243CD">
        <w:rPr>
          <w:rFonts w:ascii="Cambria" w:hAnsi="Cambria"/>
          <w:lang w:val="en-GB"/>
        </w:rPr>
        <w:t>.</w:t>
      </w:r>
      <w:r w:rsidR="008539D8" w:rsidRPr="00C243CD">
        <w:rPr>
          <w:rFonts w:ascii="Cambria" w:hAnsi="Cambria"/>
          <w:lang w:val="en-GB"/>
        </w:rPr>
        <w:t xml:space="preserve"> Notation shall be done in absolute value, where 1 equals 100% and with minimum 4 decimal numbers detail.</w:t>
      </w:r>
    </w:p>
    <w:p w14:paraId="592860A4" w14:textId="45B478DD"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5</w:t>
      </w:r>
      <w:r w:rsidR="002B5DBA" w:rsidRPr="00C243CD">
        <w:rPr>
          <w:rFonts w:ascii="Cambria" w:hAnsi="Cambria"/>
          <w:lang w:val="en-GB"/>
        </w:rPr>
        <w:t>0 - Issuance Date</w:t>
      </w:r>
    </w:p>
    <w:p w14:paraId="7D1062D8" w14:textId="77777777" w:rsidR="002B5DBA" w:rsidRPr="00C243CD" w:rsidRDefault="002B5DBA" w:rsidP="009474F1">
      <w:pPr>
        <w:rPr>
          <w:rFonts w:ascii="Cambria" w:hAnsi="Cambria"/>
          <w:lang w:val="en-GB"/>
        </w:rPr>
      </w:pPr>
      <w:r w:rsidRPr="00C243CD">
        <w:rPr>
          <w:rFonts w:ascii="Cambria" w:hAnsi="Cambria"/>
          <w:lang w:val="en-GB"/>
        </w:rPr>
        <w:t>Date of the original issuance of the instrument.</w:t>
      </w:r>
    </w:p>
    <w:p w14:paraId="78ACEE8D" w14:textId="4F0C00B5"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6</w:t>
      </w:r>
      <w:r w:rsidR="002B5DBA" w:rsidRPr="00C243CD">
        <w:rPr>
          <w:rFonts w:ascii="Cambria" w:hAnsi="Cambria"/>
          <w:lang w:val="en-GB"/>
        </w:rPr>
        <w:t>0 - Earliest Redemption Date</w:t>
      </w:r>
    </w:p>
    <w:p w14:paraId="1D48A19E" w14:textId="77777777" w:rsidR="002B5DBA" w:rsidRPr="00C243CD" w:rsidRDefault="002B5DBA" w:rsidP="009474F1">
      <w:pPr>
        <w:rPr>
          <w:rFonts w:ascii="Cambria" w:hAnsi="Cambria"/>
          <w:lang w:val="en-GB"/>
        </w:rPr>
      </w:pPr>
      <w:r w:rsidRPr="00C243CD">
        <w:rPr>
          <w:rFonts w:ascii="Cambria" w:hAnsi="Cambria"/>
          <w:lang w:val="en-GB"/>
        </w:rPr>
        <w:t>If an option exists for the holders of the instrument to request early reimbursement, or conditions for early reimbursement are contractually foreseen, the earliest occurrence date should be completed. Where such termination events are not linked to a date, but rather on the occurrence of any event in the future, the earliest date at which the event could occur should be used in the report.</w:t>
      </w:r>
      <w:r w:rsidR="00282945" w:rsidRPr="00C243CD">
        <w:rPr>
          <w:rFonts w:ascii="Cambria" w:hAnsi="Cambria"/>
          <w:lang w:val="en-GB"/>
        </w:rPr>
        <w:t xml:space="preserve"> If the early reimbursement relates to only a portion of the liability (e.g. early reimbursement of 50% of the nominal amount), the liability should be split to take into account this partial early redemption clause.</w:t>
      </w:r>
    </w:p>
    <w:p w14:paraId="066CF0C3" w14:textId="1A83F94C"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7</w:t>
      </w:r>
      <w:r w:rsidR="002B5DBA" w:rsidRPr="00C243CD">
        <w:rPr>
          <w:rFonts w:ascii="Cambria" w:hAnsi="Cambria"/>
          <w:lang w:val="en-GB"/>
        </w:rPr>
        <w:t>0 - Legal Maturity</w:t>
      </w:r>
    </w:p>
    <w:p w14:paraId="1C5D0B76" w14:textId="77777777" w:rsidR="002B5DBA" w:rsidRPr="00C243CD" w:rsidRDefault="002B5DBA" w:rsidP="009474F1">
      <w:pPr>
        <w:rPr>
          <w:rFonts w:ascii="Cambria" w:hAnsi="Cambria"/>
          <w:lang w:val="en-GB"/>
        </w:rPr>
      </w:pPr>
      <w:r w:rsidRPr="00C243CD">
        <w:rPr>
          <w:rFonts w:ascii="Cambria" w:hAnsi="Cambria"/>
          <w:lang w:val="en-GB"/>
        </w:rPr>
        <w:t>Date of the legal, final maturity of the instrument.</w:t>
      </w:r>
      <w:r w:rsidR="00A305F3" w:rsidRPr="00C243CD">
        <w:rPr>
          <w:rFonts w:ascii="Cambria" w:hAnsi="Cambria"/>
          <w:lang w:val="en-GB"/>
        </w:rPr>
        <w:t xml:space="preserve"> For perpetual instruments, this should be ‘2099-01-31’.</w:t>
      </w:r>
    </w:p>
    <w:p w14:paraId="388D5E32" w14:textId="01D342B9"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8</w:t>
      </w:r>
      <w:r w:rsidR="002B5DBA" w:rsidRPr="00C243CD">
        <w:rPr>
          <w:rFonts w:ascii="Cambria" w:hAnsi="Cambria"/>
          <w:lang w:val="en-GB"/>
        </w:rPr>
        <w:t>0 - Public/Private Placement</w:t>
      </w:r>
    </w:p>
    <w:p w14:paraId="22638413" w14:textId="77777777" w:rsidR="002B5DBA" w:rsidRPr="00C243CD" w:rsidRDefault="001A3B77" w:rsidP="00FC47FC">
      <w:pPr>
        <w:rPr>
          <w:rFonts w:ascii="Cambria" w:hAnsi="Cambria"/>
          <w:lang w:val="en-GB"/>
        </w:rPr>
      </w:pPr>
      <w:r w:rsidRPr="00C243CD">
        <w:rPr>
          <w:rFonts w:ascii="Cambria" w:hAnsi="Cambria"/>
          <w:lang w:val="en-GB"/>
        </w:rPr>
        <w:t xml:space="preserve">In a public placement, </w:t>
      </w:r>
      <w:r w:rsidR="00A42E05" w:rsidRPr="00C243CD">
        <w:rPr>
          <w:rFonts w:ascii="Cambria" w:hAnsi="Cambria"/>
          <w:lang w:val="en-GB"/>
        </w:rPr>
        <w:t xml:space="preserve">the entity will have publicized the issuance with a specific timing for a bidding procedure. On the contrary, private placements are negotiated between individual parties acting either for their own account of for account of third parties. </w:t>
      </w:r>
      <w:r w:rsidR="00FC47FC" w:rsidRPr="00C243CD">
        <w:rPr>
          <w:rFonts w:ascii="Cambria" w:hAnsi="Cambria"/>
          <w:lang w:val="en-GB"/>
        </w:rPr>
        <w:t>Value can be ‘Public’ or ‘Private’ from a predefined list.</w:t>
      </w:r>
    </w:p>
    <w:p w14:paraId="5ECE938F" w14:textId="1B019593"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9</w:t>
      </w:r>
      <w:r w:rsidR="002B5DBA" w:rsidRPr="00C243CD">
        <w:rPr>
          <w:rFonts w:ascii="Cambria" w:hAnsi="Cambria"/>
          <w:lang w:val="en-GB"/>
        </w:rPr>
        <w:t>0 - Paying Agent</w:t>
      </w:r>
    </w:p>
    <w:p w14:paraId="35FFB9CE" w14:textId="77777777" w:rsidR="002B5DBA" w:rsidRPr="00C243CD" w:rsidRDefault="002B5DBA" w:rsidP="009474F1">
      <w:pPr>
        <w:rPr>
          <w:rFonts w:ascii="Cambria" w:hAnsi="Cambria"/>
          <w:lang w:val="en-GB"/>
        </w:rPr>
      </w:pPr>
      <w:r w:rsidRPr="00C243CD">
        <w:rPr>
          <w:rFonts w:ascii="Cambria" w:hAnsi="Cambria"/>
          <w:lang w:val="en-GB"/>
        </w:rPr>
        <w:t xml:space="preserve">Identification of the Paying Agent for the instrument using its LEI code. A "paying agent" is an institution, usually an investment </w:t>
      </w:r>
      <w:r w:rsidR="0031698B" w:rsidRPr="00C243CD">
        <w:rPr>
          <w:rFonts w:ascii="Cambria" w:hAnsi="Cambria"/>
          <w:lang w:val="en-GB"/>
        </w:rPr>
        <w:t>bank, which</w:t>
      </w:r>
      <w:r w:rsidRPr="00C243CD">
        <w:rPr>
          <w:rFonts w:ascii="Cambria" w:hAnsi="Cambria"/>
          <w:lang w:val="en-GB"/>
        </w:rPr>
        <w:t xml:space="preserve"> accepts funds from the issuer of a security and distributes them to that security's holders. For stocks, a paying agent distributes dividends to stockholders. For bonds, it distributes coupon payments and reimbursements of principal to bondholders.</w:t>
      </w:r>
    </w:p>
    <w:p w14:paraId="2E87DA0C" w14:textId="2FA2CBE3" w:rsidR="002B5DBA" w:rsidRPr="00C243CD" w:rsidRDefault="001D45ED" w:rsidP="009474F1">
      <w:pPr>
        <w:pStyle w:val="Heading4"/>
        <w:rPr>
          <w:rFonts w:ascii="Cambria" w:hAnsi="Cambria"/>
          <w:lang w:val="en-GB"/>
        </w:rPr>
      </w:pPr>
      <w:r>
        <w:rPr>
          <w:rFonts w:ascii="Cambria" w:hAnsi="Cambria"/>
          <w:lang w:val="en-GB"/>
        </w:rPr>
        <w:t>c0</w:t>
      </w:r>
      <w:r w:rsidR="002B5DBA" w:rsidRPr="00C243CD">
        <w:rPr>
          <w:rFonts w:ascii="Cambria" w:hAnsi="Cambria"/>
          <w:lang w:val="en-GB"/>
        </w:rPr>
        <w:t>2</w:t>
      </w:r>
      <w:r w:rsidR="003E7184" w:rsidRPr="00C243CD">
        <w:rPr>
          <w:rFonts w:ascii="Cambria" w:hAnsi="Cambria"/>
          <w:lang w:val="en-GB"/>
        </w:rPr>
        <w:t>0</w:t>
      </w:r>
      <w:r w:rsidR="002B5DBA" w:rsidRPr="00C243CD">
        <w:rPr>
          <w:rFonts w:ascii="Cambria" w:hAnsi="Cambria"/>
          <w:lang w:val="en-GB"/>
        </w:rPr>
        <w:t>0 - Trustee</w:t>
      </w:r>
    </w:p>
    <w:p w14:paraId="2CC4B968" w14:textId="77777777" w:rsidR="002B5DBA" w:rsidRPr="00C243CD" w:rsidRDefault="002B5DBA" w:rsidP="009474F1">
      <w:pPr>
        <w:rPr>
          <w:rFonts w:ascii="Cambria" w:hAnsi="Cambria"/>
          <w:lang w:val="en-GB"/>
        </w:rPr>
      </w:pPr>
      <w:r w:rsidRPr="00C243CD">
        <w:rPr>
          <w:rFonts w:ascii="Cambria" w:hAnsi="Cambria"/>
          <w:lang w:val="en-GB"/>
        </w:rPr>
        <w:t>Identification of the Trustee for the instrument using its LEI code. A trust can be used as a means of holding security over assets of a debtor for a number of creditors, for example in a syndicated loan or a securitisation transaction. A security trustee is the entity holding the various security interests created on trust for the various creditors, such as banks or bondholders. This structure avoids granting security separately to all creditors which would be costly and impractical.</w:t>
      </w:r>
    </w:p>
    <w:p w14:paraId="1209835B" w14:textId="0E0715A9" w:rsidR="002B5DBA" w:rsidRPr="00C243CD" w:rsidRDefault="001D45ED" w:rsidP="009474F1">
      <w:pPr>
        <w:pStyle w:val="Heading4"/>
        <w:rPr>
          <w:rFonts w:ascii="Cambria" w:hAnsi="Cambria"/>
          <w:lang w:val="en-GB"/>
        </w:rPr>
      </w:pPr>
      <w:r>
        <w:rPr>
          <w:rFonts w:ascii="Cambria" w:hAnsi="Cambria"/>
          <w:lang w:val="en-GB"/>
        </w:rPr>
        <w:lastRenderedPageBreak/>
        <w:t>c0</w:t>
      </w:r>
      <w:r w:rsidR="002B5DBA" w:rsidRPr="00C243CD">
        <w:rPr>
          <w:rFonts w:ascii="Cambria" w:hAnsi="Cambria"/>
          <w:lang w:val="en-GB"/>
        </w:rPr>
        <w:t>2</w:t>
      </w:r>
      <w:r w:rsidR="003E7184" w:rsidRPr="00C243CD">
        <w:rPr>
          <w:rFonts w:ascii="Cambria" w:hAnsi="Cambria"/>
          <w:lang w:val="en-GB"/>
        </w:rPr>
        <w:t>1</w:t>
      </w:r>
      <w:r w:rsidR="002B5DBA" w:rsidRPr="00C243CD">
        <w:rPr>
          <w:rFonts w:ascii="Cambria" w:hAnsi="Cambria"/>
          <w:lang w:val="en-GB"/>
        </w:rPr>
        <w:t xml:space="preserve">0 </w:t>
      </w:r>
      <w:r w:rsidR="00696BC4">
        <w:rPr>
          <w:rFonts w:ascii="Cambria" w:hAnsi="Cambria"/>
          <w:lang w:val="en-GB"/>
        </w:rPr>
        <w:t>–</w:t>
      </w:r>
      <w:r w:rsidR="002B5DBA" w:rsidRPr="00C243CD">
        <w:rPr>
          <w:rFonts w:ascii="Cambria" w:hAnsi="Cambria"/>
          <w:lang w:val="en-GB"/>
        </w:rPr>
        <w:t xml:space="preserve"> </w:t>
      </w:r>
      <w:r w:rsidR="00861568" w:rsidRPr="00861568">
        <w:rPr>
          <w:rFonts w:ascii="Cambria" w:hAnsi="Cambria"/>
          <w:lang w:val="en-GB"/>
        </w:rPr>
        <w:t>Counterparty identifier (preferably LEI)</w:t>
      </w:r>
    </w:p>
    <w:p w14:paraId="5E661BA7" w14:textId="0C8F3F42" w:rsidR="00C30939" w:rsidRPr="00C243CD" w:rsidRDefault="00C30939" w:rsidP="009474F1">
      <w:pPr>
        <w:pStyle w:val="Heading4"/>
        <w:rPr>
          <w:rFonts w:ascii="Cambria" w:hAnsi="Cambria"/>
          <w:i w:val="0"/>
          <w:color w:val="auto"/>
          <w:lang w:val="en-GB"/>
        </w:rPr>
      </w:pPr>
      <w:r w:rsidRPr="00C243CD">
        <w:rPr>
          <w:rFonts w:ascii="Cambria" w:hAnsi="Cambria"/>
          <w:i w:val="0"/>
          <w:color w:val="auto"/>
          <w:lang w:val="en-GB"/>
        </w:rPr>
        <w:t xml:space="preserve">Please report the creditor’s LEI code, issued by the Global Legal </w:t>
      </w:r>
      <w:r>
        <w:rPr>
          <w:rFonts w:ascii="Cambria" w:hAnsi="Cambria"/>
          <w:i w:val="0"/>
          <w:color w:val="auto"/>
          <w:lang w:val="en-GB"/>
        </w:rPr>
        <w:t xml:space="preserve">Entity </w:t>
      </w:r>
      <w:r w:rsidRPr="00C243CD">
        <w:rPr>
          <w:rFonts w:ascii="Cambria" w:hAnsi="Cambria"/>
          <w:i w:val="0"/>
          <w:color w:val="auto"/>
          <w:lang w:val="en-GB"/>
        </w:rPr>
        <w:t xml:space="preserve">Identifier Foundation and recommended by the FSB. In the absence of a LEI, in the case of banks’ the ECB Monetary Financial Institutions </w:t>
      </w:r>
      <w:r>
        <w:rPr>
          <w:rFonts w:ascii="Cambria" w:hAnsi="Cambria"/>
          <w:i w:val="0"/>
          <w:color w:val="auto"/>
          <w:lang w:val="en-GB"/>
        </w:rPr>
        <w:t>i</w:t>
      </w:r>
      <w:r w:rsidRPr="00C243CD">
        <w:rPr>
          <w:rFonts w:ascii="Cambria" w:hAnsi="Cambria"/>
          <w:i w:val="0"/>
          <w:color w:val="auto"/>
          <w:lang w:val="en-GB"/>
        </w:rPr>
        <w:t>dentifier (MFI ID) used in RIAD should be reported. Exclusively in absence of both these identifiers, an internal identifier could be reported.</w:t>
      </w:r>
    </w:p>
    <w:p w14:paraId="49718942" w14:textId="1B42ADD5" w:rsidR="002B5DBA" w:rsidRPr="00C243CD" w:rsidRDefault="001D45ED" w:rsidP="009474F1">
      <w:pPr>
        <w:pStyle w:val="Heading4"/>
        <w:rPr>
          <w:rFonts w:ascii="Cambria" w:hAnsi="Cambria"/>
          <w:lang w:val="en-GB"/>
        </w:rPr>
      </w:pPr>
      <w:r>
        <w:rPr>
          <w:rFonts w:ascii="Cambria" w:hAnsi="Cambria"/>
          <w:lang w:val="en-GB"/>
        </w:rPr>
        <w:t>c0</w:t>
      </w:r>
      <w:r w:rsidR="002B5DBA" w:rsidRPr="00C243CD">
        <w:rPr>
          <w:rFonts w:ascii="Cambria" w:hAnsi="Cambria"/>
          <w:lang w:val="en-GB"/>
        </w:rPr>
        <w:t>2</w:t>
      </w:r>
      <w:r w:rsidR="003E7184" w:rsidRPr="00C243CD">
        <w:rPr>
          <w:rFonts w:ascii="Cambria" w:hAnsi="Cambria"/>
          <w:lang w:val="en-GB"/>
        </w:rPr>
        <w:t>2</w:t>
      </w:r>
      <w:r w:rsidR="002B5DBA" w:rsidRPr="00C243CD">
        <w:rPr>
          <w:rFonts w:ascii="Cambria" w:hAnsi="Cambria"/>
          <w:lang w:val="en-GB"/>
        </w:rPr>
        <w:t>0 - Exchanges Securities are Listed On</w:t>
      </w:r>
    </w:p>
    <w:p w14:paraId="23AB90AE" w14:textId="77777777" w:rsidR="002B5DBA" w:rsidRPr="00C243CD" w:rsidRDefault="002B5DBA" w:rsidP="009474F1">
      <w:pPr>
        <w:rPr>
          <w:rFonts w:ascii="Cambria" w:hAnsi="Cambria"/>
          <w:lang w:val="en-GB"/>
        </w:rPr>
      </w:pPr>
      <w:r w:rsidRPr="00C243CD">
        <w:rPr>
          <w:rFonts w:ascii="Cambria" w:hAnsi="Cambria"/>
          <w:lang w:val="en-GB"/>
        </w:rPr>
        <w:t>If instruments are listed on an exchange platform, this/these platform(s) should be communicated.</w:t>
      </w:r>
      <w:r w:rsidR="001A06B9" w:rsidRPr="00C243CD">
        <w:rPr>
          <w:rFonts w:ascii="Cambria" w:hAnsi="Cambria"/>
          <w:lang w:val="en-GB"/>
        </w:rPr>
        <w:t xml:space="preserve"> </w:t>
      </w:r>
      <w:r w:rsidR="00467711" w:rsidRPr="00C243CD">
        <w:rPr>
          <w:rFonts w:ascii="Cambria" w:hAnsi="Cambria"/>
          <w:lang w:val="en-GB"/>
        </w:rPr>
        <w:t>Where multiple exchanges are concerned, please separate the platforms with a semicolon.</w:t>
      </w:r>
    </w:p>
    <w:p w14:paraId="07DA25AD" w14:textId="40D69AC2" w:rsidR="002B5DBA" w:rsidRPr="00C243CD" w:rsidRDefault="001D45ED" w:rsidP="009474F1">
      <w:pPr>
        <w:pStyle w:val="Heading4"/>
        <w:rPr>
          <w:rFonts w:ascii="Cambria" w:hAnsi="Cambria"/>
          <w:lang w:val="en-GB"/>
        </w:rPr>
      </w:pPr>
      <w:r>
        <w:rPr>
          <w:rFonts w:ascii="Cambria" w:hAnsi="Cambria"/>
          <w:lang w:val="en-GB"/>
        </w:rPr>
        <w:t>c0</w:t>
      </w:r>
      <w:r w:rsidR="002B5DBA" w:rsidRPr="00C243CD">
        <w:rPr>
          <w:rFonts w:ascii="Cambria" w:hAnsi="Cambria"/>
          <w:lang w:val="en-GB"/>
        </w:rPr>
        <w:t>2</w:t>
      </w:r>
      <w:r w:rsidR="003E7184" w:rsidRPr="00C243CD">
        <w:rPr>
          <w:rFonts w:ascii="Cambria" w:hAnsi="Cambria"/>
          <w:lang w:val="en-GB"/>
        </w:rPr>
        <w:t>3</w:t>
      </w:r>
      <w:r w:rsidR="002B5DBA" w:rsidRPr="00C243CD">
        <w:rPr>
          <w:rFonts w:ascii="Cambria" w:hAnsi="Cambria"/>
          <w:lang w:val="en-GB"/>
        </w:rPr>
        <w:t>0 - Settlement Systems</w:t>
      </w:r>
    </w:p>
    <w:p w14:paraId="56E415BE" w14:textId="03FBDE52" w:rsidR="002B5DBA" w:rsidRPr="00C243CD" w:rsidRDefault="002B5DBA" w:rsidP="009474F1">
      <w:pPr>
        <w:rPr>
          <w:rFonts w:ascii="Cambria" w:hAnsi="Cambria"/>
          <w:lang w:val="en-GB"/>
        </w:rPr>
      </w:pPr>
      <w:r w:rsidRPr="00C243CD">
        <w:rPr>
          <w:rFonts w:ascii="Cambria" w:hAnsi="Cambria"/>
          <w:lang w:val="en-GB"/>
        </w:rPr>
        <w:t xml:space="preserve">Indicate the Securities Settlement Systems where these securities can be settled. </w:t>
      </w:r>
      <w:r w:rsidR="00467711" w:rsidRPr="00C243CD">
        <w:rPr>
          <w:rFonts w:ascii="Cambria" w:hAnsi="Cambria"/>
          <w:lang w:val="en-GB"/>
        </w:rPr>
        <w:t xml:space="preserve">Where multiple settlement systems are concerned, please separate each one with a </w:t>
      </w:r>
      <w:r w:rsidR="003B28B4">
        <w:rPr>
          <w:rFonts w:ascii="Cambria" w:hAnsi="Cambria"/>
          <w:lang w:val="en-GB"/>
        </w:rPr>
        <w:t>semicolon</w:t>
      </w:r>
      <w:r w:rsidR="00467711" w:rsidRPr="00C243CD">
        <w:rPr>
          <w:rFonts w:ascii="Cambria" w:hAnsi="Cambria"/>
          <w:lang w:val="en-GB"/>
        </w:rPr>
        <w:t>.</w:t>
      </w:r>
    </w:p>
    <w:p w14:paraId="07230733" w14:textId="708C9B18" w:rsidR="002B5DBA" w:rsidRPr="00C243CD" w:rsidRDefault="001D45ED" w:rsidP="009474F1">
      <w:pPr>
        <w:pStyle w:val="Heading4"/>
        <w:rPr>
          <w:rFonts w:ascii="Cambria" w:hAnsi="Cambria"/>
          <w:lang w:val="en-GB"/>
        </w:rPr>
      </w:pPr>
      <w:r>
        <w:rPr>
          <w:rFonts w:ascii="Cambria" w:hAnsi="Cambria"/>
          <w:lang w:val="en-GB"/>
        </w:rPr>
        <w:t>c0</w:t>
      </w:r>
      <w:r w:rsidR="002B5DBA" w:rsidRPr="00C243CD">
        <w:rPr>
          <w:rFonts w:ascii="Cambria" w:hAnsi="Cambria"/>
          <w:lang w:val="en-GB"/>
        </w:rPr>
        <w:t>2</w:t>
      </w:r>
      <w:r w:rsidR="003E7184" w:rsidRPr="00C243CD">
        <w:rPr>
          <w:rFonts w:ascii="Cambria" w:hAnsi="Cambria"/>
          <w:lang w:val="en-GB"/>
        </w:rPr>
        <w:t>4</w:t>
      </w:r>
      <w:r w:rsidR="002B5DBA" w:rsidRPr="00C243CD">
        <w:rPr>
          <w:rFonts w:ascii="Cambria" w:hAnsi="Cambria"/>
          <w:lang w:val="en-GB"/>
        </w:rPr>
        <w:t>0 - Registrar Holder</w:t>
      </w:r>
      <w:r w:rsidR="005E419B">
        <w:rPr>
          <w:rFonts w:ascii="Cambria" w:hAnsi="Cambria"/>
          <w:lang w:val="en-GB"/>
        </w:rPr>
        <w:t xml:space="preserve"> </w:t>
      </w:r>
    </w:p>
    <w:p w14:paraId="65D7D597" w14:textId="346626CD" w:rsidR="002B5DBA" w:rsidRPr="00C243CD" w:rsidRDefault="00FC47FC" w:rsidP="009474F1">
      <w:pPr>
        <w:rPr>
          <w:rFonts w:ascii="Cambria" w:hAnsi="Cambria"/>
          <w:lang w:val="en-GB"/>
        </w:rPr>
      </w:pPr>
      <w:r w:rsidRPr="00C243CD">
        <w:rPr>
          <w:rFonts w:ascii="Cambria" w:hAnsi="Cambria"/>
          <w:lang w:val="en-GB"/>
        </w:rPr>
        <w:t>Indicate the registrar (</w:t>
      </w:r>
      <w:r w:rsidR="003C35B7">
        <w:rPr>
          <w:rFonts w:ascii="Cambria" w:hAnsi="Cambria"/>
          <w:lang w:val="en-GB"/>
        </w:rPr>
        <w:t xml:space="preserve">responsible for </w:t>
      </w:r>
      <w:r w:rsidRPr="00C243CD">
        <w:rPr>
          <w:rFonts w:ascii="Cambria" w:hAnsi="Cambria"/>
          <w:lang w:val="en-GB"/>
        </w:rPr>
        <w:t>holding the records of these securities' owners)</w:t>
      </w:r>
      <w:r w:rsidR="002B5DBA" w:rsidRPr="00C243CD">
        <w:rPr>
          <w:rFonts w:ascii="Cambria" w:hAnsi="Cambria"/>
          <w:lang w:val="en-GB"/>
        </w:rPr>
        <w:t xml:space="preserve">. </w:t>
      </w:r>
      <w:r w:rsidR="003C35B7">
        <w:rPr>
          <w:rFonts w:ascii="Cambria" w:hAnsi="Cambria"/>
          <w:lang w:val="en-GB"/>
        </w:rPr>
        <w:t>The registrar</w:t>
      </w:r>
      <w:r w:rsidR="003B28B4">
        <w:rPr>
          <w:rFonts w:ascii="Cambria" w:hAnsi="Cambria"/>
          <w:lang w:val="en-GB"/>
        </w:rPr>
        <w:t xml:space="preserve"> or register holder</w:t>
      </w:r>
      <w:r w:rsidR="003C35B7">
        <w:rPr>
          <w:rFonts w:ascii="Cambria" w:hAnsi="Cambria"/>
          <w:lang w:val="en-GB"/>
        </w:rPr>
        <w:t xml:space="preserve"> is usually the issuer itself, a CSD or another entity.</w:t>
      </w:r>
      <w:r w:rsidR="007077E3">
        <w:rPr>
          <w:rFonts w:ascii="Cambria" w:hAnsi="Cambria"/>
          <w:lang w:val="en-GB"/>
        </w:rPr>
        <w:t xml:space="preserve"> </w:t>
      </w:r>
    </w:p>
    <w:p w14:paraId="2429E630" w14:textId="77777777" w:rsidR="00FC47FC" w:rsidRPr="00C243CD" w:rsidRDefault="008539D8" w:rsidP="009474F1">
      <w:pPr>
        <w:pStyle w:val="Heading4"/>
        <w:rPr>
          <w:rFonts w:ascii="Cambria" w:hAnsi="Cambria"/>
          <w:lang w:val="en-GB"/>
        </w:rPr>
      </w:pPr>
      <w:r w:rsidRPr="00C243CD">
        <w:rPr>
          <w:rFonts w:ascii="Cambria" w:hAnsi="Cambria"/>
          <w:lang w:val="en-GB"/>
        </w:rPr>
        <w:t>c</w:t>
      </w:r>
      <w:r w:rsidR="00FC47FC" w:rsidRPr="00C243CD">
        <w:rPr>
          <w:rFonts w:ascii="Cambria" w:hAnsi="Cambria"/>
          <w:lang w:val="en-GB"/>
        </w:rPr>
        <w:t>25</w:t>
      </w:r>
      <w:r w:rsidR="003E7184" w:rsidRPr="00C243CD">
        <w:rPr>
          <w:rFonts w:ascii="Cambria" w:hAnsi="Cambria"/>
          <w:lang w:val="en-GB"/>
        </w:rPr>
        <w:t>0</w:t>
      </w:r>
      <w:r w:rsidR="00FC47FC" w:rsidRPr="00C243CD">
        <w:rPr>
          <w:rFonts w:ascii="Cambria" w:hAnsi="Cambria"/>
          <w:lang w:val="en-GB"/>
        </w:rPr>
        <w:t xml:space="preserve"> - Central Securities Depository</w:t>
      </w:r>
    </w:p>
    <w:p w14:paraId="76707B3A" w14:textId="370783DC" w:rsidR="00FC47FC" w:rsidRDefault="00FC47FC" w:rsidP="00FC47FC">
      <w:pPr>
        <w:rPr>
          <w:rFonts w:ascii="Cambria" w:hAnsi="Cambria"/>
          <w:lang w:val="en-GB"/>
        </w:rPr>
      </w:pPr>
      <w:r w:rsidRPr="00C243CD">
        <w:rPr>
          <w:rFonts w:ascii="Cambria" w:hAnsi="Cambria"/>
          <w:lang w:val="en-GB"/>
        </w:rPr>
        <w:t xml:space="preserve">Indicate the CSD </w:t>
      </w:r>
      <w:r w:rsidR="005C6B23">
        <w:rPr>
          <w:rFonts w:ascii="Cambria" w:hAnsi="Cambria"/>
          <w:lang w:val="en-GB"/>
        </w:rPr>
        <w:t>of issue</w:t>
      </w:r>
      <w:r w:rsidR="00E9320A">
        <w:rPr>
          <w:rFonts w:ascii="Cambria" w:hAnsi="Cambria"/>
          <w:lang w:val="en-GB"/>
        </w:rPr>
        <w:t xml:space="preserve"> </w:t>
      </w:r>
      <w:r w:rsidRPr="00C243CD">
        <w:rPr>
          <w:rFonts w:ascii="Cambria" w:hAnsi="Cambria"/>
          <w:lang w:val="en-GB"/>
        </w:rPr>
        <w:t>for the security.</w:t>
      </w:r>
    </w:p>
    <w:p w14:paraId="16B04F81" w14:textId="5DABC6B2" w:rsidR="005C6B23" w:rsidRDefault="005C6B23" w:rsidP="00FC47FC">
      <w:pPr>
        <w:rPr>
          <w:rFonts w:ascii="Cambria" w:hAnsi="Cambria"/>
          <w:lang w:val="en-GB"/>
        </w:rPr>
      </w:pPr>
      <w:r>
        <w:rPr>
          <w:rFonts w:ascii="Cambria" w:hAnsi="Cambria"/>
          <w:lang w:val="en-GB"/>
        </w:rPr>
        <w:t>When reporting the CSD of issue, please use the abbreviation indicated in the table below, except if the relevant CSD is not in the list:</w:t>
      </w:r>
    </w:p>
    <w:tbl>
      <w:tblPr>
        <w:tblW w:w="9806" w:type="dxa"/>
        <w:tblLook w:val="04A0" w:firstRow="1" w:lastRow="0" w:firstColumn="1" w:lastColumn="0" w:noHBand="0" w:noVBand="1"/>
      </w:tblPr>
      <w:tblGrid>
        <w:gridCol w:w="3256"/>
        <w:gridCol w:w="3817"/>
        <w:gridCol w:w="1986"/>
        <w:gridCol w:w="747"/>
      </w:tblGrid>
      <w:tr w:rsidR="003B28B4" w:rsidRPr="00817C57" w14:paraId="392AF7D2" w14:textId="77777777" w:rsidTr="003B28B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0F31CE07" w14:textId="77777777" w:rsidR="003B28B4" w:rsidRPr="00817C57" w:rsidRDefault="003B28B4" w:rsidP="00742738">
            <w:pPr>
              <w:spacing w:line="240" w:lineRule="auto"/>
              <w:jc w:val="left"/>
              <w:rPr>
                <w:rFonts w:ascii="Calibri" w:eastAsia="Times New Roman" w:hAnsi="Calibri" w:cs="Times New Roman"/>
                <w:b/>
                <w:bCs/>
                <w:color w:val="000000"/>
                <w:sz w:val="16"/>
                <w:szCs w:val="16"/>
                <w:lang w:val="en-US" w:eastAsia="en-GB"/>
              </w:rPr>
            </w:pPr>
            <w:r w:rsidRPr="00817C57">
              <w:rPr>
                <w:rFonts w:ascii="Calibri" w:eastAsia="Times New Roman" w:hAnsi="Calibri" w:cs="Times New Roman"/>
                <w:b/>
                <w:bCs/>
                <w:color w:val="000000"/>
                <w:sz w:val="16"/>
                <w:szCs w:val="16"/>
                <w:lang w:val="en-GB" w:eastAsia="en-GB"/>
              </w:rPr>
              <w:t>CSD name abbreviation to be used in LDR</w:t>
            </w:r>
          </w:p>
        </w:tc>
        <w:tc>
          <w:tcPr>
            <w:tcW w:w="3817" w:type="dxa"/>
            <w:tcBorders>
              <w:top w:val="single" w:sz="4" w:space="0" w:color="auto"/>
              <w:left w:val="nil"/>
              <w:bottom w:val="single" w:sz="4" w:space="0" w:color="auto"/>
              <w:right w:val="nil"/>
            </w:tcBorders>
            <w:shd w:val="clear" w:color="000000" w:fill="FFCC99"/>
          </w:tcPr>
          <w:p w14:paraId="04B9A41C" w14:textId="77777777" w:rsidR="003B28B4" w:rsidRPr="00817C57" w:rsidRDefault="003B28B4" w:rsidP="00742738">
            <w:pPr>
              <w:spacing w:line="240" w:lineRule="auto"/>
              <w:jc w:val="left"/>
              <w:rPr>
                <w:rFonts w:ascii="Calibri" w:eastAsia="Times New Roman" w:hAnsi="Calibri" w:cs="Times New Roman"/>
                <w:b/>
                <w:bCs/>
                <w:color w:val="000000"/>
                <w:sz w:val="16"/>
                <w:szCs w:val="16"/>
                <w:lang w:val="en-GB" w:eastAsia="en-GB"/>
              </w:rPr>
            </w:pPr>
            <w:r w:rsidRPr="00817C57">
              <w:rPr>
                <w:rFonts w:ascii="Calibri" w:eastAsia="Times New Roman" w:hAnsi="Calibri" w:cs="Times New Roman"/>
                <w:b/>
                <w:bCs/>
                <w:color w:val="000000"/>
                <w:sz w:val="16"/>
                <w:szCs w:val="16"/>
                <w:lang w:val="en-GB" w:eastAsia="en-GB"/>
              </w:rPr>
              <w:t>Full CSD name (when relevant)</w:t>
            </w:r>
          </w:p>
        </w:tc>
        <w:tc>
          <w:tcPr>
            <w:tcW w:w="1986" w:type="dxa"/>
            <w:tcBorders>
              <w:top w:val="single" w:sz="4" w:space="0" w:color="auto"/>
              <w:left w:val="nil"/>
              <w:bottom w:val="single" w:sz="4" w:space="0" w:color="auto"/>
              <w:right w:val="single" w:sz="4" w:space="0" w:color="auto"/>
            </w:tcBorders>
            <w:shd w:val="clear" w:color="000000" w:fill="FFCC99"/>
            <w:vAlign w:val="bottom"/>
            <w:hideMark/>
          </w:tcPr>
          <w:p w14:paraId="60D9772C" w14:textId="77777777" w:rsidR="003B28B4" w:rsidRPr="00817C57" w:rsidRDefault="003B28B4" w:rsidP="00742738">
            <w:pPr>
              <w:spacing w:line="240" w:lineRule="auto"/>
              <w:jc w:val="left"/>
              <w:rPr>
                <w:rFonts w:ascii="Calibri" w:eastAsia="Times New Roman" w:hAnsi="Calibri" w:cs="Times New Roman"/>
                <w:b/>
                <w:bCs/>
                <w:color w:val="000000"/>
                <w:sz w:val="16"/>
                <w:szCs w:val="16"/>
                <w:lang w:val="en-GB" w:eastAsia="en-GB"/>
              </w:rPr>
            </w:pPr>
            <w:r w:rsidRPr="00817C57">
              <w:rPr>
                <w:rFonts w:ascii="Calibri" w:eastAsia="Times New Roman" w:hAnsi="Calibri" w:cs="Times New Roman"/>
                <w:b/>
                <w:bCs/>
                <w:color w:val="000000"/>
                <w:sz w:val="16"/>
                <w:szCs w:val="16"/>
                <w:lang w:val="en-GB" w:eastAsia="en-GB"/>
              </w:rPr>
              <w:t>Operator or parent company (if relevant)</w:t>
            </w:r>
          </w:p>
        </w:tc>
        <w:tc>
          <w:tcPr>
            <w:tcW w:w="747" w:type="dxa"/>
            <w:tcBorders>
              <w:top w:val="single" w:sz="4" w:space="0" w:color="auto"/>
              <w:left w:val="nil"/>
              <w:bottom w:val="single" w:sz="4" w:space="0" w:color="auto"/>
              <w:right w:val="single" w:sz="4" w:space="0" w:color="auto"/>
            </w:tcBorders>
            <w:shd w:val="clear" w:color="000000" w:fill="FFCC99"/>
            <w:vAlign w:val="bottom"/>
            <w:hideMark/>
          </w:tcPr>
          <w:p w14:paraId="11BDCB3F" w14:textId="77777777" w:rsidR="003B28B4" w:rsidRPr="00817C57" w:rsidRDefault="003B28B4" w:rsidP="00742738">
            <w:pPr>
              <w:spacing w:line="240" w:lineRule="auto"/>
              <w:jc w:val="left"/>
              <w:rPr>
                <w:rFonts w:ascii="Calibri" w:eastAsia="Times New Roman" w:hAnsi="Calibri" w:cs="Times New Roman"/>
                <w:b/>
                <w:bCs/>
                <w:color w:val="000000"/>
                <w:sz w:val="16"/>
                <w:szCs w:val="16"/>
                <w:lang w:val="en-GB" w:eastAsia="en-GB"/>
              </w:rPr>
            </w:pPr>
            <w:r w:rsidRPr="00817C57">
              <w:rPr>
                <w:rFonts w:ascii="Calibri" w:eastAsia="Times New Roman" w:hAnsi="Calibri" w:cs="Times New Roman"/>
                <w:b/>
                <w:bCs/>
                <w:color w:val="000000"/>
                <w:sz w:val="16"/>
                <w:szCs w:val="16"/>
                <w:lang w:val="en-GB" w:eastAsia="en-GB"/>
              </w:rPr>
              <w:t>Country</w:t>
            </w:r>
          </w:p>
        </w:tc>
      </w:tr>
      <w:tr w:rsidR="003B28B4" w:rsidRPr="00817C57" w14:paraId="244EF76F"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071F527" w14:textId="77777777" w:rsidR="003B28B4" w:rsidRPr="00817C57" w:rsidRDefault="003B28B4" w:rsidP="00742738">
            <w:pPr>
              <w:spacing w:line="240" w:lineRule="auto"/>
              <w:jc w:val="left"/>
              <w:rPr>
                <w:rFonts w:ascii="Calibri" w:eastAsia="Times New Roman" w:hAnsi="Calibri" w:cs="Times New Roman"/>
                <w:color w:val="000000"/>
                <w:sz w:val="16"/>
                <w:szCs w:val="16"/>
                <w:lang w:val="en-GB" w:eastAsia="en-GB"/>
              </w:rPr>
            </w:pPr>
            <w:r w:rsidRPr="00817C57">
              <w:rPr>
                <w:rFonts w:ascii="Calibri" w:eastAsia="Times New Roman" w:hAnsi="Calibri" w:cs="Times New Roman"/>
                <w:color w:val="000000"/>
                <w:sz w:val="16"/>
                <w:szCs w:val="16"/>
                <w:lang w:val="en-GB" w:eastAsia="en-GB"/>
              </w:rPr>
              <w:t>ATHEX CSD</w:t>
            </w:r>
          </w:p>
        </w:tc>
        <w:tc>
          <w:tcPr>
            <w:tcW w:w="3817" w:type="dxa"/>
            <w:tcBorders>
              <w:top w:val="nil"/>
              <w:left w:val="single" w:sz="4" w:space="0" w:color="auto"/>
              <w:bottom w:val="single" w:sz="4" w:space="0" w:color="auto"/>
              <w:right w:val="single" w:sz="4" w:space="0" w:color="auto"/>
            </w:tcBorders>
            <w:shd w:val="clear" w:color="auto" w:fill="auto"/>
            <w:vAlign w:val="bottom"/>
          </w:tcPr>
          <w:p w14:paraId="6ED6A60B" w14:textId="77777777" w:rsidR="003B28B4" w:rsidRPr="00817C57" w:rsidRDefault="003B28B4" w:rsidP="00742738">
            <w:pPr>
              <w:spacing w:line="240" w:lineRule="auto"/>
              <w:jc w:val="left"/>
              <w:rPr>
                <w:rFonts w:ascii="Calibri" w:eastAsia="Times New Roman" w:hAnsi="Calibri" w:cs="Times New Roman"/>
                <w:color w:val="000000"/>
                <w:sz w:val="16"/>
                <w:szCs w:val="16"/>
                <w:lang w:val="en-GB" w:eastAsia="en-GB"/>
              </w:rPr>
            </w:pPr>
          </w:p>
        </w:tc>
        <w:tc>
          <w:tcPr>
            <w:tcW w:w="1986" w:type="dxa"/>
            <w:tcBorders>
              <w:top w:val="nil"/>
              <w:left w:val="nil"/>
              <w:bottom w:val="single" w:sz="4" w:space="0" w:color="auto"/>
              <w:right w:val="single" w:sz="4" w:space="0" w:color="auto"/>
            </w:tcBorders>
            <w:shd w:val="clear" w:color="auto" w:fill="auto"/>
            <w:noWrap/>
            <w:vAlign w:val="bottom"/>
            <w:hideMark/>
          </w:tcPr>
          <w:p w14:paraId="3BACDBC6" w14:textId="77777777" w:rsidR="003B28B4" w:rsidRPr="00817C57" w:rsidRDefault="003B28B4" w:rsidP="00742738">
            <w:pPr>
              <w:spacing w:line="240" w:lineRule="auto"/>
              <w:jc w:val="left"/>
              <w:rPr>
                <w:rFonts w:ascii="Calibri" w:eastAsia="Times New Roman" w:hAnsi="Calibri" w:cs="Times New Roman"/>
                <w:color w:val="000000"/>
                <w:sz w:val="16"/>
                <w:szCs w:val="16"/>
                <w:lang w:val="en-GB" w:eastAsia="en-GB"/>
              </w:rPr>
            </w:pPr>
            <w:r w:rsidRPr="00817C57">
              <w:rPr>
                <w:rFonts w:ascii="Calibri" w:eastAsia="Times New Roman" w:hAnsi="Calibri" w:cs="Times New Roman"/>
                <w:color w:val="000000"/>
                <w:sz w:val="16"/>
                <w:szCs w:val="16"/>
                <w:lang w:val="en-GB" w:eastAsia="en-GB"/>
              </w:rPr>
              <w:t>Athex Group</w:t>
            </w:r>
          </w:p>
        </w:tc>
        <w:tc>
          <w:tcPr>
            <w:tcW w:w="747" w:type="dxa"/>
            <w:tcBorders>
              <w:top w:val="nil"/>
              <w:left w:val="nil"/>
              <w:bottom w:val="single" w:sz="4" w:space="0" w:color="auto"/>
              <w:right w:val="single" w:sz="4" w:space="0" w:color="auto"/>
            </w:tcBorders>
            <w:shd w:val="clear" w:color="auto" w:fill="auto"/>
            <w:noWrap/>
            <w:vAlign w:val="bottom"/>
            <w:hideMark/>
          </w:tcPr>
          <w:p w14:paraId="7178046F" w14:textId="77777777" w:rsidR="003B28B4" w:rsidRPr="00817C57" w:rsidRDefault="003B28B4" w:rsidP="00742738">
            <w:pPr>
              <w:spacing w:line="240" w:lineRule="auto"/>
              <w:jc w:val="left"/>
              <w:rPr>
                <w:rFonts w:ascii="Calibri" w:eastAsia="Times New Roman" w:hAnsi="Calibri" w:cs="Times New Roman"/>
                <w:color w:val="000000"/>
                <w:sz w:val="16"/>
                <w:szCs w:val="16"/>
                <w:lang w:val="en-GB" w:eastAsia="en-GB"/>
              </w:rPr>
            </w:pPr>
            <w:r w:rsidRPr="00817C57">
              <w:rPr>
                <w:rFonts w:ascii="Calibri" w:eastAsia="Times New Roman" w:hAnsi="Calibri" w:cs="Times New Roman"/>
                <w:color w:val="000000"/>
                <w:sz w:val="16"/>
                <w:szCs w:val="16"/>
                <w:lang w:val="en-GB" w:eastAsia="en-GB"/>
              </w:rPr>
              <w:t>EL</w:t>
            </w:r>
          </w:p>
        </w:tc>
      </w:tr>
      <w:tr w:rsidR="003B28B4" w:rsidRPr="00817C57" w14:paraId="481A7DD0"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477206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BOGS</w:t>
            </w:r>
          </w:p>
        </w:tc>
        <w:tc>
          <w:tcPr>
            <w:tcW w:w="3817" w:type="dxa"/>
            <w:tcBorders>
              <w:top w:val="nil"/>
              <w:left w:val="single" w:sz="4" w:space="0" w:color="auto"/>
              <w:bottom w:val="single" w:sz="4" w:space="0" w:color="auto"/>
              <w:right w:val="single" w:sz="4" w:space="0" w:color="auto"/>
            </w:tcBorders>
            <w:shd w:val="clear" w:color="auto" w:fill="auto"/>
            <w:vAlign w:val="bottom"/>
          </w:tcPr>
          <w:p w14:paraId="69223F3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Bank of Greece Securities Settlement System</w:t>
            </w:r>
          </w:p>
        </w:tc>
        <w:tc>
          <w:tcPr>
            <w:tcW w:w="1986" w:type="dxa"/>
            <w:tcBorders>
              <w:top w:val="nil"/>
              <w:left w:val="nil"/>
              <w:bottom w:val="single" w:sz="4" w:space="0" w:color="auto"/>
              <w:right w:val="single" w:sz="4" w:space="0" w:color="auto"/>
            </w:tcBorders>
            <w:shd w:val="clear" w:color="auto" w:fill="auto"/>
            <w:noWrap/>
            <w:vAlign w:val="bottom"/>
            <w:hideMark/>
          </w:tcPr>
          <w:p w14:paraId="61E12016"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Bank of Greece</w:t>
            </w:r>
          </w:p>
        </w:tc>
        <w:tc>
          <w:tcPr>
            <w:tcW w:w="747" w:type="dxa"/>
            <w:tcBorders>
              <w:top w:val="nil"/>
              <w:left w:val="nil"/>
              <w:bottom w:val="single" w:sz="4" w:space="0" w:color="auto"/>
              <w:right w:val="single" w:sz="4" w:space="0" w:color="auto"/>
            </w:tcBorders>
            <w:shd w:val="clear" w:color="auto" w:fill="auto"/>
            <w:noWrap/>
            <w:vAlign w:val="bottom"/>
            <w:hideMark/>
          </w:tcPr>
          <w:p w14:paraId="1498E1C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EL</w:t>
            </w:r>
          </w:p>
        </w:tc>
      </w:tr>
      <w:tr w:rsidR="003B28B4" w:rsidRPr="00817C57" w14:paraId="286063A9"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B596B54" w14:textId="77777777" w:rsidR="003B28B4" w:rsidRPr="00817C57" w:rsidRDefault="003B28B4" w:rsidP="00742738">
            <w:pPr>
              <w:spacing w:line="240" w:lineRule="auto"/>
              <w:jc w:val="left"/>
              <w:rPr>
                <w:rFonts w:ascii="Calibri" w:eastAsia="Times New Roman" w:hAnsi="Calibri" w:cs="Times New Roman"/>
                <w:color w:val="000000"/>
                <w:sz w:val="16"/>
                <w:szCs w:val="16"/>
                <w:lang w:val="en-GB" w:eastAsia="en-GB"/>
              </w:rPr>
            </w:pPr>
            <w:r w:rsidRPr="00817C57">
              <w:rPr>
                <w:rFonts w:ascii="Calibri" w:eastAsia="Times New Roman" w:hAnsi="Calibri" w:cs="Times New Roman"/>
                <w:sz w:val="16"/>
                <w:szCs w:val="16"/>
                <w:lang w:val="en-GB" w:eastAsia="en-GB"/>
              </w:rPr>
              <w:t>Central Depository &amp; Clearing Company</w:t>
            </w:r>
          </w:p>
        </w:tc>
        <w:tc>
          <w:tcPr>
            <w:tcW w:w="3817" w:type="dxa"/>
            <w:tcBorders>
              <w:top w:val="nil"/>
              <w:left w:val="single" w:sz="4" w:space="0" w:color="auto"/>
              <w:bottom w:val="single" w:sz="4" w:space="0" w:color="auto"/>
              <w:right w:val="single" w:sz="4" w:space="0" w:color="auto"/>
            </w:tcBorders>
            <w:shd w:val="clear" w:color="auto" w:fill="auto"/>
            <w:vAlign w:val="bottom"/>
          </w:tcPr>
          <w:p w14:paraId="70775C6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p>
        </w:tc>
        <w:tc>
          <w:tcPr>
            <w:tcW w:w="1986" w:type="dxa"/>
            <w:tcBorders>
              <w:top w:val="nil"/>
              <w:left w:val="nil"/>
              <w:bottom w:val="single" w:sz="4" w:space="0" w:color="auto"/>
              <w:right w:val="single" w:sz="4" w:space="0" w:color="auto"/>
            </w:tcBorders>
            <w:shd w:val="clear" w:color="auto" w:fill="auto"/>
            <w:noWrap/>
            <w:vAlign w:val="bottom"/>
            <w:hideMark/>
          </w:tcPr>
          <w:p w14:paraId="2E20513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28D9034D"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HR</w:t>
            </w:r>
          </w:p>
        </w:tc>
      </w:tr>
      <w:tr w:rsidR="003B28B4" w:rsidRPr="00817C57" w14:paraId="7ECFA5A0"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4DC173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Central Depository</w:t>
            </w:r>
          </w:p>
        </w:tc>
        <w:tc>
          <w:tcPr>
            <w:tcW w:w="3817" w:type="dxa"/>
            <w:tcBorders>
              <w:top w:val="nil"/>
              <w:left w:val="single" w:sz="4" w:space="0" w:color="auto"/>
              <w:bottom w:val="single" w:sz="4" w:space="0" w:color="auto"/>
              <w:right w:val="single" w:sz="4" w:space="0" w:color="auto"/>
            </w:tcBorders>
            <w:shd w:val="clear" w:color="auto" w:fill="auto"/>
            <w:vAlign w:val="bottom"/>
          </w:tcPr>
          <w:p w14:paraId="5A72B9F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Central Depository AD</w:t>
            </w:r>
          </w:p>
        </w:tc>
        <w:tc>
          <w:tcPr>
            <w:tcW w:w="1986" w:type="dxa"/>
            <w:tcBorders>
              <w:top w:val="nil"/>
              <w:left w:val="nil"/>
              <w:bottom w:val="single" w:sz="4" w:space="0" w:color="auto"/>
              <w:right w:val="single" w:sz="4" w:space="0" w:color="auto"/>
            </w:tcBorders>
            <w:shd w:val="clear" w:color="auto" w:fill="auto"/>
            <w:noWrap/>
            <w:vAlign w:val="bottom"/>
            <w:hideMark/>
          </w:tcPr>
          <w:p w14:paraId="7E555301"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2A5E4D7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BG</w:t>
            </w:r>
          </w:p>
        </w:tc>
      </w:tr>
      <w:tr w:rsidR="003B28B4" w:rsidRPr="00817C57" w14:paraId="50FA3B5C"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F11D692"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color w:val="000000"/>
                <w:sz w:val="16"/>
                <w:szCs w:val="16"/>
                <w:lang w:val="en-GB" w:eastAsia="en-GB"/>
              </w:rPr>
              <w:t>Central Depository of Securities Prague</w:t>
            </w:r>
          </w:p>
        </w:tc>
        <w:tc>
          <w:tcPr>
            <w:tcW w:w="3817" w:type="dxa"/>
            <w:tcBorders>
              <w:top w:val="nil"/>
              <w:left w:val="single" w:sz="4" w:space="0" w:color="auto"/>
              <w:bottom w:val="single" w:sz="4" w:space="0" w:color="auto"/>
              <w:right w:val="single" w:sz="4" w:space="0" w:color="auto"/>
            </w:tcBorders>
            <w:shd w:val="clear" w:color="auto" w:fill="auto"/>
            <w:vAlign w:val="bottom"/>
          </w:tcPr>
          <w:p w14:paraId="6A618B2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p>
        </w:tc>
        <w:tc>
          <w:tcPr>
            <w:tcW w:w="1986" w:type="dxa"/>
            <w:tcBorders>
              <w:top w:val="nil"/>
              <w:left w:val="nil"/>
              <w:bottom w:val="single" w:sz="4" w:space="0" w:color="auto"/>
              <w:right w:val="single" w:sz="4" w:space="0" w:color="auto"/>
            </w:tcBorders>
            <w:shd w:val="clear" w:color="auto" w:fill="auto"/>
            <w:noWrap/>
            <w:vAlign w:val="bottom"/>
            <w:hideMark/>
          </w:tcPr>
          <w:p w14:paraId="3B2481E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02995FB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CZ</w:t>
            </w:r>
          </w:p>
        </w:tc>
      </w:tr>
      <w:tr w:rsidR="003B28B4" w:rsidRPr="00817C57" w14:paraId="50AD83C5"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AC41BA2" w14:textId="77777777" w:rsidR="003B28B4" w:rsidRPr="00817C57" w:rsidRDefault="003B28B4" w:rsidP="00742738">
            <w:pPr>
              <w:spacing w:line="240" w:lineRule="auto"/>
              <w:jc w:val="left"/>
              <w:rPr>
                <w:rFonts w:ascii="Calibri" w:eastAsia="Times New Roman" w:hAnsi="Calibri" w:cs="Times New Roman"/>
                <w:color w:val="000000"/>
                <w:sz w:val="16"/>
                <w:szCs w:val="16"/>
                <w:lang w:val="en-GB" w:eastAsia="en-GB"/>
              </w:rPr>
            </w:pPr>
            <w:r w:rsidRPr="00817C57">
              <w:rPr>
                <w:rFonts w:ascii="Calibri" w:eastAsia="Times New Roman" w:hAnsi="Calibri" w:cs="Times New Roman"/>
                <w:sz w:val="16"/>
                <w:szCs w:val="16"/>
                <w:lang w:val="en-GB" w:eastAsia="en-GB"/>
              </w:rPr>
              <w:t>KDD</w:t>
            </w:r>
          </w:p>
        </w:tc>
        <w:tc>
          <w:tcPr>
            <w:tcW w:w="3817" w:type="dxa"/>
            <w:tcBorders>
              <w:top w:val="nil"/>
              <w:left w:val="single" w:sz="4" w:space="0" w:color="auto"/>
              <w:bottom w:val="single" w:sz="4" w:space="0" w:color="auto"/>
              <w:right w:val="single" w:sz="4" w:space="0" w:color="auto"/>
            </w:tcBorders>
            <w:shd w:val="clear" w:color="auto" w:fill="auto"/>
            <w:vAlign w:val="bottom"/>
          </w:tcPr>
          <w:p w14:paraId="4064CCD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Centralna klirinško depotna družba (KDD)</w:t>
            </w:r>
          </w:p>
        </w:tc>
        <w:tc>
          <w:tcPr>
            <w:tcW w:w="1986" w:type="dxa"/>
            <w:tcBorders>
              <w:top w:val="nil"/>
              <w:left w:val="nil"/>
              <w:bottom w:val="single" w:sz="4" w:space="0" w:color="auto"/>
              <w:right w:val="single" w:sz="4" w:space="0" w:color="auto"/>
            </w:tcBorders>
            <w:shd w:val="clear" w:color="auto" w:fill="auto"/>
            <w:noWrap/>
            <w:vAlign w:val="bottom"/>
            <w:hideMark/>
          </w:tcPr>
          <w:p w14:paraId="7613871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663314B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SI</w:t>
            </w:r>
          </w:p>
        </w:tc>
      </w:tr>
      <w:tr w:rsidR="003B28B4" w:rsidRPr="00817C57" w14:paraId="1A8E72D4"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BA5029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CDCP</w:t>
            </w:r>
          </w:p>
        </w:tc>
        <w:tc>
          <w:tcPr>
            <w:tcW w:w="3817" w:type="dxa"/>
            <w:tcBorders>
              <w:top w:val="nil"/>
              <w:left w:val="single" w:sz="4" w:space="0" w:color="auto"/>
              <w:bottom w:val="single" w:sz="4" w:space="0" w:color="auto"/>
              <w:right w:val="single" w:sz="4" w:space="0" w:color="auto"/>
            </w:tcBorders>
            <w:shd w:val="clear" w:color="auto" w:fill="auto"/>
            <w:vAlign w:val="bottom"/>
          </w:tcPr>
          <w:p w14:paraId="7462505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Centrální depozitár cenných papíru SR a.s.</w:t>
            </w:r>
          </w:p>
        </w:tc>
        <w:tc>
          <w:tcPr>
            <w:tcW w:w="1986" w:type="dxa"/>
            <w:tcBorders>
              <w:top w:val="nil"/>
              <w:left w:val="nil"/>
              <w:bottom w:val="single" w:sz="4" w:space="0" w:color="auto"/>
              <w:right w:val="single" w:sz="4" w:space="0" w:color="auto"/>
            </w:tcBorders>
            <w:shd w:val="clear" w:color="auto" w:fill="auto"/>
            <w:noWrap/>
            <w:vAlign w:val="bottom"/>
            <w:hideMark/>
          </w:tcPr>
          <w:p w14:paraId="7AB238B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22365CA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CZ</w:t>
            </w:r>
          </w:p>
        </w:tc>
      </w:tr>
      <w:tr w:rsidR="003B28B4" w:rsidRPr="00817C57" w14:paraId="19C9D9DC"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5D7ECE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CDCP SR</w:t>
            </w:r>
          </w:p>
        </w:tc>
        <w:tc>
          <w:tcPr>
            <w:tcW w:w="3817" w:type="dxa"/>
            <w:tcBorders>
              <w:top w:val="nil"/>
              <w:left w:val="single" w:sz="4" w:space="0" w:color="auto"/>
              <w:bottom w:val="single" w:sz="4" w:space="0" w:color="auto"/>
              <w:right w:val="single" w:sz="4" w:space="0" w:color="auto"/>
            </w:tcBorders>
            <w:shd w:val="clear" w:color="auto" w:fill="auto"/>
            <w:vAlign w:val="bottom"/>
          </w:tcPr>
          <w:p w14:paraId="27A85B7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Centralny Depositar Cennych Papierov  SR</w:t>
            </w:r>
          </w:p>
        </w:tc>
        <w:tc>
          <w:tcPr>
            <w:tcW w:w="1986" w:type="dxa"/>
            <w:tcBorders>
              <w:top w:val="nil"/>
              <w:left w:val="nil"/>
              <w:bottom w:val="single" w:sz="4" w:space="0" w:color="auto"/>
              <w:right w:val="single" w:sz="4" w:space="0" w:color="auto"/>
            </w:tcBorders>
            <w:shd w:val="clear" w:color="auto" w:fill="auto"/>
            <w:noWrap/>
            <w:vAlign w:val="bottom"/>
            <w:hideMark/>
          </w:tcPr>
          <w:p w14:paraId="00C9E69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5CA0A43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SK</w:t>
            </w:r>
          </w:p>
        </w:tc>
      </w:tr>
      <w:tr w:rsidR="003B28B4" w:rsidRPr="00817C57" w14:paraId="1BAEC380"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FB78B1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CBF</w:t>
            </w:r>
          </w:p>
        </w:tc>
        <w:tc>
          <w:tcPr>
            <w:tcW w:w="3817" w:type="dxa"/>
            <w:tcBorders>
              <w:top w:val="nil"/>
              <w:left w:val="single" w:sz="4" w:space="0" w:color="auto"/>
              <w:bottom w:val="single" w:sz="4" w:space="0" w:color="auto"/>
              <w:right w:val="single" w:sz="4" w:space="0" w:color="auto"/>
            </w:tcBorders>
            <w:shd w:val="clear" w:color="auto" w:fill="auto"/>
            <w:vAlign w:val="bottom"/>
          </w:tcPr>
          <w:p w14:paraId="6F60A83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Clearstream Banking Frankfurt</w:t>
            </w:r>
          </w:p>
        </w:tc>
        <w:tc>
          <w:tcPr>
            <w:tcW w:w="1986" w:type="dxa"/>
            <w:tcBorders>
              <w:top w:val="nil"/>
              <w:left w:val="nil"/>
              <w:bottom w:val="single" w:sz="4" w:space="0" w:color="auto"/>
              <w:right w:val="single" w:sz="4" w:space="0" w:color="auto"/>
            </w:tcBorders>
            <w:shd w:val="clear" w:color="auto" w:fill="auto"/>
            <w:noWrap/>
            <w:vAlign w:val="bottom"/>
            <w:hideMark/>
          </w:tcPr>
          <w:p w14:paraId="6A22D166"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Deutsche Börse</w:t>
            </w:r>
          </w:p>
        </w:tc>
        <w:tc>
          <w:tcPr>
            <w:tcW w:w="747" w:type="dxa"/>
            <w:tcBorders>
              <w:top w:val="nil"/>
              <w:left w:val="nil"/>
              <w:bottom w:val="single" w:sz="4" w:space="0" w:color="auto"/>
              <w:right w:val="single" w:sz="4" w:space="0" w:color="auto"/>
            </w:tcBorders>
            <w:shd w:val="clear" w:color="auto" w:fill="auto"/>
            <w:noWrap/>
            <w:vAlign w:val="bottom"/>
            <w:hideMark/>
          </w:tcPr>
          <w:p w14:paraId="54C81A8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DE</w:t>
            </w:r>
          </w:p>
        </w:tc>
      </w:tr>
      <w:tr w:rsidR="003B28B4" w:rsidRPr="00817C57" w14:paraId="03C51B6B"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A8ED52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CBL</w:t>
            </w:r>
          </w:p>
        </w:tc>
        <w:tc>
          <w:tcPr>
            <w:tcW w:w="3817" w:type="dxa"/>
            <w:tcBorders>
              <w:top w:val="nil"/>
              <w:left w:val="single" w:sz="4" w:space="0" w:color="auto"/>
              <w:bottom w:val="single" w:sz="4" w:space="0" w:color="auto"/>
              <w:right w:val="single" w:sz="4" w:space="0" w:color="auto"/>
            </w:tcBorders>
            <w:shd w:val="clear" w:color="auto" w:fill="auto"/>
            <w:vAlign w:val="bottom"/>
          </w:tcPr>
          <w:p w14:paraId="7493EFDD"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Clearstream Banking Luxembourg (the ICSD)</w:t>
            </w:r>
          </w:p>
        </w:tc>
        <w:tc>
          <w:tcPr>
            <w:tcW w:w="1986" w:type="dxa"/>
            <w:tcBorders>
              <w:top w:val="nil"/>
              <w:left w:val="nil"/>
              <w:bottom w:val="single" w:sz="4" w:space="0" w:color="auto"/>
              <w:right w:val="single" w:sz="4" w:space="0" w:color="auto"/>
            </w:tcBorders>
            <w:shd w:val="clear" w:color="auto" w:fill="auto"/>
            <w:noWrap/>
            <w:vAlign w:val="bottom"/>
            <w:hideMark/>
          </w:tcPr>
          <w:p w14:paraId="6A65E20D"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619DF4C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LU</w:t>
            </w:r>
          </w:p>
        </w:tc>
      </w:tr>
      <w:tr w:rsidR="003B28B4" w:rsidRPr="00817C57" w14:paraId="61CA29A7"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BB97B2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Cyprus CDCR</w:t>
            </w:r>
          </w:p>
        </w:tc>
        <w:tc>
          <w:tcPr>
            <w:tcW w:w="3817" w:type="dxa"/>
            <w:tcBorders>
              <w:top w:val="nil"/>
              <w:left w:val="single" w:sz="4" w:space="0" w:color="auto"/>
              <w:bottom w:val="single" w:sz="4" w:space="0" w:color="auto"/>
              <w:right w:val="single" w:sz="4" w:space="0" w:color="auto"/>
            </w:tcBorders>
            <w:shd w:val="clear" w:color="auto" w:fill="auto"/>
            <w:vAlign w:val="bottom"/>
          </w:tcPr>
          <w:p w14:paraId="55B6C2F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Cyprus CDCR (Central Depository and Central Registry)</w:t>
            </w:r>
          </w:p>
        </w:tc>
        <w:tc>
          <w:tcPr>
            <w:tcW w:w="1986" w:type="dxa"/>
            <w:tcBorders>
              <w:top w:val="nil"/>
              <w:left w:val="nil"/>
              <w:bottom w:val="single" w:sz="4" w:space="0" w:color="auto"/>
              <w:right w:val="single" w:sz="4" w:space="0" w:color="auto"/>
            </w:tcBorders>
            <w:shd w:val="clear" w:color="auto" w:fill="auto"/>
            <w:noWrap/>
            <w:vAlign w:val="bottom"/>
            <w:hideMark/>
          </w:tcPr>
          <w:p w14:paraId="5F61525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Cyprus Stock Exchange</w:t>
            </w:r>
          </w:p>
        </w:tc>
        <w:tc>
          <w:tcPr>
            <w:tcW w:w="747" w:type="dxa"/>
            <w:tcBorders>
              <w:top w:val="nil"/>
              <w:left w:val="nil"/>
              <w:bottom w:val="single" w:sz="4" w:space="0" w:color="auto"/>
              <w:right w:val="single" w:sz="4" w:space="0" w:color="auto"/>
            </w:tcBorders>
            <w:shd w:val="clear" w:color="auto" w:fill="auto"/>
            <w:noWrap/>
            <w:vAlign w:val="bottom"/>
            <w:hideMark/>
          </w:tcPr>
          <w:p w14:paraId="33A1D08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CY</w:t>
            </w:r>
          </w:p>
        </w:tc>
      </w:tr>
      <w:tr w:rsidR="003B28B4" w:rsidRPr="00817C57" w14:paraId="1192B073"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3ACDE9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Depozitarul Central</w:t>
            </w:r>
          </w:p>
        </w:tc>
        <w:tc>
          <w:tcPr>
            <w:tcW w:w="3817" w:type="dxa"/>
            <w:tcBorders>
              <w:top w:val="nil"/>
              <w:left w:val="single" w:sz="4" w:space="0" w:color="auto"/>
              <w:bottom w:val="single" w:sz="4" w:space="0" w:color="auto"/>
              <w:right w:val="single" w:sz="4" w:space="0" w:color="auto"/>
            </w:tcBorders>
            <w:shd w:val="clear" w:color="auto" w:fill="auto"/>
            <w:vAlign w:val="bottom"/>
          </w:tcPr>
          <w:p w14:paraId="39E4D29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Depozitarul Central S.A.</w:t>
            </w:r>
          </w:p>
        </w:tc>
        <w:tc>
          <w:tcPr>
            <w:tcW w:w="1986" w:type="dxa"/>
            <w:tcBorders>
              <w:top w:val="nil"/>
              <w:left w:val="nil"/>
              <w:bottom w:val="single" w:sz="4" w:space="0" w:color="auto"/>
              <w:right w:val="single" w:sz="4" w:space="0" w:color="auto"/>
            </w:tcBorders>
            <w:shd w:val="clear" w:color="auto" w:fill="auto"/>
            <w:noWrap/>
            <w:vAlign w:val="bottom"/>
            <w:hideMark/>
          </w:tcPr>
          <w:p w14:paraId="1A6F2B52"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Group BvB</w:t>
            </w:r>
          </w:p>
        </w:tc>
        <w:tc>
          <w:tcPr>
            <w:tcW w:w="747" w:type="dxa"/>
            <w:tcBorders>
              <w:top w:val="nil"/>
              <w:left w:val="nil"/>
              <w:bottom w:val="single" w:sz="4" w:space="0" w:color="auto"/>
              <w:right w:val="single" w:sz="4" w:space="0" w:color="auto"/>
            </w:tcBorders>
            <w:shd w:val="clear" w:color="auto" w:fill="auto"/>
            <w:noWrap/>
            <w:vAlign w:val="bottom"/>
            <w:hideMark/>
          </w:tcPr>
          <w:p w14:paraId="35DD9B11"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RO</w:t>
            </w:r>
          </w:p>
        </w:tc>
      </w:tr>
      <w:tr w:rsidR="003B28B4" w:rsidRPr="00817C57" w14:paraId="2B76886B"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387D40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DTC</w:t>
            </w:r>
          </w:p>
        </w:tc>
        <w:tc>
          <w:tcPr>
            <w:tcW w:w="3817" w:type="dxa"/>
            <w:tcBorders>
              <w:top w:val="nil"/>
              <w:left w:val="single" w:sz="4" w:space="0" w:color="auto"/>
              <w:bottom w:val="single" w:sz="4" w:space="0" w:color="auto"/>
              <w:right w:val="single" w:sz="4" w:space="0" w:color="auto"/>
            </w:tcBorders>
            <w:shd w:val="clear" w:color="auto" w:fill="auto"/>
            <w:vAlign w:val="bottom"/>
          </w:tcPr>
          <w:p w14:paraId="4CDD65A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Depository Trust Company</w:t>
            </w:r>
          </w:p>
        </w:tc>
        <w:tc>
          <w:tcPr>
            <w:tcW w:w="1986" w:type="dxa"/>
            <w:tcBorders>
              <w:top w:val="nil"/>
              <w:left w:val="nil"/>
              <w:bottom w:val="single" w:sz="4" w:space="0" w:color="auto"/>
              <w:right w:val="single" w:sz="4" w:space="0" w:color="auto"/>
            </w:tcBorders>
            <w:shd w:val="clear" w:color="auto" w:fill="auto"/>
            <w:noWrap/>
            <w:vAlign w:val="bottom"/>
            <w:hideMark/>
          </w:tcPr>
          <w:p w14:paraId="6492C84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DTCC</w:t>
            </w:r>
          </w:p>
        </w:tc>
        <w:tc>
          <w:tcPr>
            <w:tcW w:w="747" w:type="dxa"/>
            <w:tcBorders>
              <w:top w:val="nil"/>
              <w:left w:val="nil"/>
              <w:bottom w:val="single" w:sz="4" w:space="0" w:color="auto"/>
              <w:right w:val="single" w:sz="4" w:space="0" w:color="auto"/>
            </w:tcBorders>
            <w:shd w:val="clear" w:color="auto" w:fill="auto"/>
            <w:noWrap/>
            <w:vAlign w:val="bottom"/>
            <w:hideMark/>
          </w:tcPr>
          <w:p w14:paraId="6E1B617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US</w:t>
            </w:r>
          </w:p>
        </w:tc>
      </w:tr>
      <w:tr w:rsidR="003B28B4" w:rsidRPr="00817C57" w14:paraId="5966F778"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D5C2C4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Nasdaq CSD</w:t>
            </w:r>
          </w:p>
        </w:tc>
        <w:tc>
          <w:tcPr>
            <w:tcW w:w="3817" w:type="dxa"/>
            <w:tcBorders>
              <w:top w:val="nil"/>
              <w:left w:val="single" w:sz="4" w:space="0" w:color="auto"/>
              <w:bottom w:val="single" w:sz="4" w:space="0" w:color="auto"/>
              <w:right w:val="single" w:sz="4" w:space="0" w:color="auto"/>
            </w:tcBorders>
            <w:shd w:val="clear" w:color="auto" w:fill="auto"/>
            <w:vAlign w:val="bottom"/>
          </w:tcPr>
          <w:p w14:paraId="541BEE4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p>
        </w:tc>
        <w:tc>
          <w:tcPr>
            <w:tcW w:w="1986" w:type="dxa"/>
            <w:tcBorders>
              <w:top w:val="nil"/>
              <w:left w:val="nil"/>
              <w:bottom w:val="single" w:sz="4" w:space="0" w:color="auto"/>
              <w:right w:val="single" w:sz="4" w:space="0" w:color="auto"/>
            </w:tcBorders>
            <w:shd w:val="clear" w:color="auto" w:fill="auto"/>
            <w:noWrap/>
            <w:vAlign w:val="bottom"/>
            <w:hideMark/>
          </w:tcPr>
          <w:p w14:paraId="4E91A42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NASDAQ OMX</w:t>
            </w:r>
          </w:p>
        </w:tc>
        <w:tc>
          <w:tcPr>
            <w:tcW w:w="747" w:type="dxa"/>
            <w:tcBorders>
              <w:top w:val="nil"/>
              <w:left w:val="nil"/>
              <w:bottom w:val="single" w:sz="4" w:space="0" w:color="auto"/>
              <w:right w:val="single" w:sz="4" w:space="0" w:color="auto"/>
            </w:tcBorders>
            <w:shd w:val="clear" w:color="auto" w:fill="auto"/>
            <w:noWrap/>
            <w:vAlign w:val="bottom"/>
            <w:hideMark/>
          </w:tcPr>
          <w:p w14:paraId="4453AED5"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EE</w:t>
            </w:r>
          </w:p>
        </w:tc>
      </w:tr>
      <w:tr w:rsidR="003B28B4" w:rsidRPr="00817C57" w14:paraId="16469687"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E30AB7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Bank</w:t>
            </w:r>
          </w:p>
        </w:tc>
        <w:tc>
          <w:tcPr>
            <w:tcW w:w="3817" w:type="dxa"/>
            <w:tcBorders>
              <w:top w:val="nil"/>
              <w:left w:val="single" w:sz="4" w:space="0" w:color="auto"/>
              <w:bottom w:val="single" w:sz="4" w:space="0" w:color="auto"/>
              <w:right w:val="single" w:sz="4" w:space="0" w:color="auto"/>
            </w:tcBorders>
            <w:shd w:val="clear" w:color="auto" w:fill="auto"/>
            <w:vAlign w:val="bottom"/>
          </w:tcPr>
          <w:p w14:paraId="0C2F755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Bank (the ICSD)</w:t>
            </w:r>
          </w:p>
        </w:tc>
        <w:tc>
          <w:tcPr>
            <w:tcW w:w="1986" w:type="dxa"/>
            <w:tcBorders>
              <w:top w:val="nil"/>
              <w:left w:val="nil"/>
              <w:bottom w:val="single" w:sz="4" w:space="0" w:color="auto"/>
              <w:right w:val="single" w:sz="4" w:space="0" w:color="auto"/>
            </w:tcBorders>
            <w:shd w:val="clear" w:color="auto" w:fill="auto"/>
            <w:noWrap/>
            <w:vAlign w:val="bottom"/>
            <w:hideMark/>
          </w:tcPr>
          <w:p w14:paraId="13B4398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w:t>
            </w:r>
          </w:p>
        </w:tc>
        <w:tc>
          <w:tcPr>
            <w:tcW w:w="747" w:type="dxa"/>
            <w:tcBorders>
              <w:top w:val="nil"/>
              <w:left w:val="nil"/>
              <w:bottom w:val="single" w:sz="4" w:space="0" w:color="auto"/>
              <w:right w:val="single" w:sz="4" w:space="0" w:color="auto"/>
            </w:tcBorders>
            <w:shd w:val="clear" w:color="auto" w:fill="auto"/>
            <w:noWrap/>
            <w:vAlign w:val="bottom"/>
            <w:hideMark/>
          </w:tcPr>
          <w:p w14:paraId="0410DEF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BE</w:t>
            </w:r>
          </w:p>
        </w:tc>
      </w:tr>
      <w:tr w:rsidR="003B28B4" w:rsidRPr="00817C57" w14:paraId="518F1A7F"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D0988F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Belgium</w:t>
            </w:r>
          </w:p>
        </w:tc>
        <w:tc>
          <w:tcPr>
            <w:tcW w:w="3817" w:type="dxa"/>
            <w:tcBorders>
              <w:top w:val="nil"/>
              <w:left w:val="single" w:sz="4" w:space="0" w:color="auto"/>
              <w:bottom w:val="single" w:sz="4" w:space="0" w:color="auto"/>
              <w:right w:val="single" w:sz="4" w:space="0" w:color="auto"/>
            </w:tcBorders>
            <w:shd w:val="clear" w:color="auto" w:fill="auto"/>
            <w:vAlign w:val="bottom"/>
          </w:tcPr>
          <w:p w14:paraId="61D94AD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Belgium (part of ESES)</w:t>
            </w:r>
          </w:p>
        </w:tc>
        <w:tc>
          <w:tcPr>
            <w:tcW w:w="1986" w:type="dxa"/>
            <w:tcBorders>
              <w:top w:val="nil"/>
              <w:left w:val="nil"/>
              <w:bottom w:val="single" w:sz="4" w:space="0" w:color="auto"/>
              <w:right w:val="single" w:sz="4" w:space="0" w:color="auto"/>
            </w:tcBorders>
            <w:shd w:val="clear" w:color="auto" w:fill="auto"/>
            <w:noWrap/>
            <w:vAlign w:val="bottom"/>
            <w:hideMark/>
          </w:tcPr>
          <w:p w14:paraId="681920C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w:t>
            </w:r>
          </w:p>
        </w:tc>
        <w:tc>
          <w:tcPr>
            <w:tcW w:w="747" w:type="dxa"/>
            <w:tcBorders>
              <w:top w:val="nil"/>
              <w:left w:val="nil"/>
              <w:bottom w:val="single" w:sz="4" w:space="0" w:color="auto"/>
              <w:right w:val="single" w:sz="4" w:space="0" w:color="auto"/>
            </w:tcBorders>
            <w:shd w:val="clear" w:color="auto" w:fill="auto"/>
            <w:noWrap/>
            <w:vAlign w:val="bottom"/>
            <w:hideMark/>
          </w:tcPr>
          <w:p w14:paraId="270A4F4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BE</w:t>
            </w:r>
          </w:p>
        </w:tc>
      </w:tr>
      <w:tr w:rsidR="003B28B4" w:rsidRPr="00817C57" w14:paraId="1728382B"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9F8689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Finland</w:t>
            </w:r>
          </w:p>
        </w:tc>
        <w:tc>
          <w:tcPr>
            <w:tcW w:w="3817" w:type="dxa"/>
            <w:tcBorders>
              <w:top w:val="nil"/>
              <w:left w:val="single" w:sz="4" w:space="0" w:color="auto"/>
              <w:bottom w:val="single" w:sz="4" w:space="0" w:color="auto"/>
              <w:right w:val="single" w:sz="4" w:space="0" w:color="auto"/>
            </w:tcBorders>
            <w:shd w:val="clear" w:color="auto" w:fill="auto"/>
            <w:vAlign w:val="bottom"/>
          </w:tcPr>
          <w:p w14:paraId="49D0EBED"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Finland</w:t>
            </w:r>
          </w:p>
        </w:tc>
        <w:tc>
          <w:tcPr>
            <w:tcW w:w="1986" w:type="dxa"/>
            <w:tcBorders>
              <w:top w:val="nil"/>
              <w:left w:val="nil"/>
              <w:bottom w:val="single" w:sz="4" w:space="0" w:color="auto"/>
              <w:right w:val="single" w:sz="4" w:space="0" w:color="auto"/>
            </w:tcBorders>
            <w:shd w:val="clear" w:color="auto" w:fill="auto"/>
            <w:noWrap/>
            <w:vAlign w:val="bottom"/>
            <w:hideMark/>
          </w:tcPr>
          <w:p w14:paraId="6EF7CE2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w:t>
            </w:r>
          </w:p>
        </w:tc>
        <w:tc>
          <w:tcPr>
            <w:tcW w:w="747" w:type="dxa"/>
            <w:tcBorders>
              <w:top w:val="nil"/>
              <w:left w:val="nil"/>
              <w:bottom w:val="single" w:sz="4" w:space="0" w:color="auto"/>
              <w:right w:val="single" w:sz="4" w:space="0" w:color="auto"/>
            </w:tcBorders>
            <w:shd w:val="clear" w:color="auto" w:fill="auto"/>
            <w:noWrap/>
            <w:vAlign w:val="bottom"/>
            <w:hideMark/>
          </w:tcPr>
          <w:p w14:paraId="33AD371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FI</w:t>
            </w:r>
          </w:p>
        </w:tc>
      </w:tr>
      <w:tr w:rsidR="003B28B4" w:rsidRPr="00817C57" w14:paraId="2DEF633F"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CFF7AE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France</w:t>
            </w:r>
          </w:p>
        </w:tc>
        <w:tc>
          <w:tcPr>
            <w:tcW w:w="3817" w:type="dxa"/>
            <w:tcBorders>
              <w:top w:val="nil"/>
              <w:left w:val="single" w:sz="4" w:space="0" w:color="auto"/>
              <w:bottom w:val="single" w:sz="4" w:space="0" w:color="auto"/>
              <w:right w:val="single" w:sz="4" w:space="0" w:color="auto"/>
            </w:tcBorders>
            <w:shd w:val="clear" w:color="auto" w:fill="auto"/>
            <w:vAlign w:val="bottom"/>
          </w:tcPr>
          <w:p w14:paraId="701B9D8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France (part of ESES)</w:t>
            </w:r>
          </w:p>
        </w:tc>
        <w:tc>
          <w:tcPr>
            <w:tcW w:w="1986" w:type="dxa"/>
            <w:tcBorders>
              <w:top w:val="nil"/>
              <w:left w:val="nil"/>
              <w:bottom w:val="single" w:sz="4" w:space="0" w:color="auto"/>
              <w:right w:val="single" w:sz="4" w:space="0" w:color="auto"/>
            </w:tcBorders>
            <w:shd w:val="clear" w:color="auto" w:fill="auto"/>
            <w:noWrap/>
            <w:vAlign w:val="bottom"/>
            <w:hideMark/>
          </w:tcPr>
          <w:p w14:paraId="6E763BB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48DEFF2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FR</w:t>
            </w:r>
          </w:p>
        </w:tc>
      </w:tr>
      <w:tr w:rsidR="003B28B4" w:rsidRPr="00817C57" w14:paraId="2B9CC815"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3BF26D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Netherlands</w:t>
            </w:r>
          </w:p>
        </w:tc>
        <w:tc>
          <w:tcPr>
            <w:tcW w:w="3817" w:type="dxa"/>
            <w:tcBorders>
              <w:top w:val="nil"/>
              <w:left w:val="single" w:sz="4" w:space="0" w:color="auto"/>
              <w:bottom w:val="single" w:sz="4" w:space="0" w:color="auto"/>
              <w:right w:val="single" w:sz="4" w:space="0" w:color="auto"/>
            </w:tcBorders>
            <w:shd w:val="clear" w:color="auto" w:fill="auto"/>
            <w:vAlign w:val="bottom"/>
          </w:tcPr>
          <w:p w14:paraId="67415CA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Netherlands (part of ESES)</w:t>
            </w:r>
          </w:p>
        </w:tc>
        <w:tc>
          <w:tcPr>
            <w:tcW w:w="1986" w:type="dxa"/>
            <w:tcBorders>
              <w:top w:val="nil"/>
              <w:left w:val="nil"/>
              <w:bottom w:val="single" w:sz="4" w:space="0" w:color="auto"/>
              <w:right w:val="single" w:sz="4" w:space="0" w:color="auto"/>
            </w:tcBorders>
            <w:shd w:val="clear" w:color="auto" w:fill="auto"/>
            <w:noWrap/>
            <w:vAlign w:val="bottom"/>
            <w:hideMark/>
          </w:tcPr>
          <w:p w14:paraId="518CFB2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w:t>
            </w:r>
          </w:p>
        </w:tc>
        <w:tc>
          <w:tcPr>
            <w:tcW w:w="747" w:type="dxa"/>
            <w:tcBorders>
              <w:top w:val="nil"/>
              <w:left w:val="nil"/>
              <w:bottom w:val="single" w:sz="4" w:space="0" w:color="auto"/>
              <w:right w:val="single" w:sz="4" w:space="0" w:color="auto"/>
            </w:tcBorders>
            <w:shd w:val="clear" w:color="auto" w:fill="auto"/>
            <w:noWrap/>
            <w:vAlign w:val="bottom"/>
            <w:hideMark/>
          </w:tcPr>
          <w:p w14:paraId="288C5B71"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NL</w:t>
            </w:r>
          </w:p>
        </w:tc>
      </w:tr>
      <w:tr w:rsidR="003B28B4" w:rsidRPr="00817C57" w14:paraId="60CA34D3"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8B492C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Sweden</w:t>
            </w:r>
          </w:p>
        </w:tc>
        <w:tc>
          <w:tcPr>
            <w:tcW w:w="3817" w:type="dxa"/>
            <w:tcBorders>
              <w:top w:val="nil"/>
              <w:left w:val="single" w:sz="4" w:space="0" w:color="auto"/>
              <w:bottom w:val="single" w:sz="4" w:space="0" w:color="auto"/>
              <w:right w:val="single" w:sz="4" w:space="0" w:color="auto"/>
            </w:tcBorders>
            <w:shd w:val="clear" w:color="auto" w:fill="auto"/>
            <w:vAlign w:val="bottom"/>
          </w:tcPr>
          <w:p w14:paraId="02701BF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Sweden AB</w:t>
            </w:r>
          </w:p>
        </w:tc>
        <w:tc>
          <w:tcPr>
            <w:tcW w:w="1986" w:type="dxa"/>
            <w:tcBorders>
              <w:top w:val="nil"/>
              <w:left w:val="nil"/>
              <w:bottom w:val="single" w:sz="4" w:space="0" w:color="auto"/>
              <w:right w:val="single" w:sz="4" w:space="0" w:color="auto"/>
            </w:tcBorders>
            <w:shd w:val="clear" w:color="auto" w:fill="auto"/>
            <w:noWrap/>
            <w:vAlign w:val="bottom"/>
            <w:hideMark/>
          </w:tcPr>
          <w:p w14:paraId="21ED7846"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w:t>
            </w:r>
          </w:p>
        </w:tc>
        <w:tc>
          <w:tcPr>
            <w:tcW w:w="747" w:type="dxa"/>
            <w:tcBorders>
              <w:top w:val="nil"/>
              <w:left w:val="nil"/>
              <w:bottom w:val="single" w:sz="4" w:space="0" w:color="auto"/>
              <w:right w:val="single" w:sz="4" w:space="0" w:color="auto"/>
            </w:tcBorders>
            <w:shd w:val="clear" w:color="auto" w:fill="auto"/>
            <w:noWrap/>
            <w:vAlign w:val="bottom"/>
            <w:hideMark/>
          </w:tcPr>
          <w:p w14:paraId="2E2BC8F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SE</w:t>
            </w:r>
          </w:p>
        </w:tc>
      </w:tr>
      <w:tr w:rsidR="003B28B4" w:rsidRPr="00817C57" w14:paraId="4F952355"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859753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UK &amp; Ireland</w:t>
            </w:r>
          </w:p>
        </w:tc>
        <w:tc>
          <w:tcPr>
            <w:tcW w:w="3817" w:type="dxa"/>
            <w:tcBorders>
              <w:top w:val="nil"/>
              <w:left w:val="single" w:sz="4" w:space="0" w:color="auto"/>
              <w:bottom w:val="single" w:sz="4" w:space="0" w:color="auto"/>
              <w:right w:val="single" w:sz="4" w:space="0" w:color="auto"/>
            </w:tcBorders>
            <w:shd w:val="clear" w:color="auto" w:fill="auto"/>
            <w:vAlign w:val="bottom"/>
          </w:tcPr>
          <w:p w14:paraId="2AF2B4C5"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 UK &amp; Ireland Limited (CREST)</w:t>
            </w:r>
          </w:p>
        </w:tc>
        <w:tc>
          <w:tcPr>
            <w:tcW w:w="1986" w:type="dxa"/>
            <w:tcBorders>
              <w:top w:val="nil"/>
              <w:left w:val="nil"/>
              <w:bottom w:val="single" w:sz="4" w:space="0" w:color="auto"/>
              <w:right w:val="single" w:sz="4" w:space="0" w:color="auto"/>
            </w:tcBorders>
            <w:shd w:val="clear" w:color="auto" w:fill="auto"/>
            <w:noWrap/>
            <w:vAlign w:val="bottom"/>
            <w:hideMark/>
          </w:tcPr>
          <w:p w14:paraId="3C0DB1B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Euroclear</w:t>
            </w:r>
          </w:p>
        </w:tc>
        <w:tc>
          <w:tcPr>
            <w:tcW w:w="747" w:type="dxa"/>
            <w:tcBorders>
              <w:top w:val="nil"/>
              <w:left w:val="nil"/>
              <w:bottom w:val="single" w:sz="4" w:space="0" w:color="auto"/>
              <w:right w:val="single" w:sz="4" w:space="0" w:color="auto"/>
            </w:tcBorders>
            <w:shd w:val="clear" w:color="auto" w:fill="auto"/>
            <w:noWrap/>
            <w:vAlign w:val="bottom"/>
            <w:hideMark/>
          </w:tcPr>
          <w:p w14:paraId="7467DCF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UK</w:t>
            </w:r>
          </w:p>
        </w:tc>
      </w:tr>
      <w:tr w:rsidR="003B28B4" w:rsidRPr="00817C57" w14:paraId="368E9A66"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7795CD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Government Securities Depository (GSD)</w:t>
            </w:r>
          </w:p>
        </w:tc>
        <w:tc>
          <w:tcPr>
            <w:tcW w:w="3817" w:type="dxa"/>
            <w:tcBorders>
              <w:top w:val="nil"/>
              <w:left w:val="single" w:sz="4" w:space="0" w:color="auto"/>
              <w:bottom w:val="single" w:sz="4" w:space="0" w:color="auto"/>
              <w:right w:val="single" w:sz="4" w:space="0" w:color="auto"/>
            </w:tcBorders>
            <w:shd w:val="clear" w:color="auto" w:fill="auto"/>
            <w:vAlign w:val="bottom"/>
          </w:tcPr>
          <w:p w14:paraId="75EC036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Government Securities Depository (GSD)</w:t>
            </w:r>
          </w:p>
        </w:tc>
        <w:tc>
          <w:tcPr>
            <w:tcW w:w="1986" w:type="dxa"/>
            <w:tcBorders>
              <w:top w:val="nil"/>
              <w:left w:val="nil"/>
              <w:bottom w:val="single" w:sz="4" w:space="0" w:color="auto"/>
              <w:right w:val="single" w:sz="4" w:space="0" w:color="auto"/>
            </w:tcBorders>
            <w:shd w:val="clear" w:color="auto" w:fill="auto"/>
            <w:noWrap/>
            <w:vAlign w:val="bottom"/>
            <w:hideMark/>
          </w:tcPr>
          <w:p w14:paraId="7A4AF841"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Bulgarian National Bank</w:t>
            </w:r>
          </w:p>
        </w:tc>
        <w:tc>
          <w:tcPr>
            <w:tcW w:w="747" w:type="dxa"/>
            <w:tcBorders>
              <w:top w:val="nil"/>
              <w:left w:val="nil"/>
              <w:bottom w:val="single" w:sz="4" w:space="0" w:color="auto"/>
              <w:right w:val="single" w:sz="4" w:space="0" w:color="auto"/>
            </w:tcBorders>
            <w:shd w:val="clear" w:color="auto" w:fill="auto"/>
            <w:noWrap/>
            <w:vAlign w:val="bottom"/>
            <w:hideMark/>
          </w:tcPr>
          <w:p w14:paraId="2922C93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BG</w:t>
            </w:r>
          </w:p>
        </w:tc>
      </w:tr>
      <w:tr w:rsidR="003B28B4" w:rsidRPr="00817C57" w14:paraId="2250E29E"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7C61D3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Iberclear</w:t>
            </w:r>
          </w:p>
        </w:tc>
        <w:tc>
          <w:tcPr>
            <w:tcW w:w="3817" w:type="dxa"/>
            <w:tcBorders>
              <w:top w:val="nil"/>
              <w:left w:val="single" w:sz="4" w:space="0" w:color="auto"/>
              <w:bottom w:val="single" w:sz="4" w:space="0" w:color="auto"/>
              <w:right w:val="single" w:sz="4" w:space="0" w:color="auto"/>
            </w:tcBorders>
            <w:shd w:val="clear" w:color="auto" w:fill="auto"/>
            <w:vAlign w:val="bottom"/>
          </w:tcPr>
          <w:p w14:paraId="265B788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Iberclear</w:t>
            </w:r>
          </w:p>
        </w:tc>
        <w:tc>
          <w:tcPr>
            <w:tcW w:w="1986" w:type="dxa"/>
            <w:tcBorders>
              <w:top w:val="nil"/>
              <w:left w:val="nil"/>
              <w:bottom w:val="single" w:sz="4" w:space="0" w:color="auto"/>
              <w:right w:val="single" w:sz="4" w:space="0" w:color="auto"/>
            </w:tcBorders>
            <w:shd w:val="clear" w:color="auto" w:fill="auto"/>
            <w:noWrap/>
            <w:vAlign w:val="bottom"/>
            <w:hideMark/>
          </w:tcPr>
          <w:p w14:paraId="1E2AEF8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BME</w:t>
            </w:r>
          </w:p>
        </w:tc>
        <w:tc>
          <w:tcPr>
            <w:tcW w:w="747" w:type="dxa"/>
            <w:tcBorders>
              <w:top w:val="nil"/>
              <w:left w:val="nil"/>
              <w:bottom w:val="single" w:sz="4" w:space="0" w:color="auto"/>
              <w:right w:val="single" w:sz="4" w:space="0" w:color="auto"/>
            </w:tcBorders>
            <w:shd w:val="clear" w:color="auto" w:fill="auto"/>
            <w:noWrap/>
            <w:vAlign w:val="bottom"/>
            <w:hideMark/>
          </w:tcPr>
          <w:p w14:paraId="7034529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ES</w:t>
            </w:r>
          </w:p>
        </w:tc>
      </w:tr>
      <w:tr w:rsidR="003B28B4" w:rsidRPr="00817C57" w14:paraId="0E64D801"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4127BC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lastRenderedPageBreak/>
              <w:t>INTERBOLSA</w:t>
            </w:r>
          </w:p>
        </w:tc>
        <w:tc>
          <w:tcPr>
            <w:tcW w:w="3817" w:type="dxa"/>
            <w:tcBorders>
              <w:top w:val="nil"/>
              <w:left w:val="single" w:sz="4" w:space="0" w:color="auto"/>
              <w:bottom w:val="single" w:sz="4" w:space="0" w:color="auto"/>
              <w:right w:val="single" w:sz="4" w:space="0" w:color="auto"/>
            </w:tcBorders>
            <w:shd w:val="clear" w:color="auto" w:fill="auto"/>
            <w:vAlign w:val="bottom"/>
          </w:tcPr>
          <w:p w14:paraId="2423337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INTERBOLSA</w:t>
            </w:r>
          </w:p>
        </w:tc>
        <w:tc>
          <w:tcPr>
            <w:tcW w:w="1986" w:type="dxa"/>
            <w:tcBorders>
              <w:top w:val="nil"/>
              <w:left w:val="nil"/>
              <w:bottom w:val="single" w:sz="4" w:space="0" w:color="auto"/>
              <w:right w:val="single" w:sz="4" w:space="0" w:color="auto"/>
            </w:tcBorders>
            <w:shd w:val="clear" w:color="auto" w:fill="auto"/>
            <w:noWrap/>
            <w:vAlign w:val="bottom"/>
            <w:hideMark/>
          </w:tcPr>
          <w:p w14:paraId="757B5D6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18BC646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PT</w:t>
            </w:r>
          </w:p>
        </w:tc>
      </w:tr>
      <w:tr w:rsidR="003B28B4" w:rsidRPr="00817C57" w14:paraId="7206E9C1"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DBF5942"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KDPW</w:t>
            </w:r>
          </w:p>
        </w:tc>
        <w:tc>
          <w:tcPr>
            <w:tcW w:w="3817" w:type="dxa"/>
            <w:tcBorders>
              <w:top w:val="nil"/>
              <w:left w:val="single" w:sz="4" w:space="0" w:color="auto"/>
              <w:bottom w:val="single" w:sz="4" w:space="0" w:color="auto"/>
              <w:right w:val="single" w:sz="4" w:space="0" w:color="auto"/>
            </w:tcBorders>
            <w:shd w:val="clear" w:color="auto" w:fill="auto"/>
            <w:vAlign w:val="bottom"/>
          </w:tcPr>
          <w:p w14:paraId="40D009F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KDPW S.A.</w:t>
            </w:r>
          </w:p>
        </w:tc>
        <w:tc>
          <w:tcPr>
            <w:tcW w:w="1986" w:type="dxa"/>
            <w:tcBorders>
              <w:top w:val="nil"/>
              <w:left w:val="nil"/>
              <w:bottom w:val="single" w:sz="4" w:space="0" w:color="auto"/>
              <w:right w:val="single" w:sz="4" w:space="0" w:color="auto"/>
            </w:tcBorders>
            <w:shd w:val="clear" w:color="auto" w:fill="auto"/>
            <w:noWrap/>
            <w:vAlign w:val="bottom"/>
            <w:hideMark/>
          </w:tcPr>
          <w:p w14:paraId="081B7CDD"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2191D0E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PL</w:t>
            </w:r>
          </w:p>
        </w:tc>
      </w:tr>
      <w:tr w:rsidR="003B28B4" w:rsidRPr="00817C57" w14:paraId="62EA55EC"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E427CC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KELER</w:t>
            </w:r>
          </w:p>
        </w:tc>
        <w:tc>
          <w:tcPr>
            <w:tcW w:w="3817" w:type="dxa"/>
            <w:tcBorders>
              <w:top w:val="nil"/>
              <w:left w:val="single" w:sz="4" w:space="0" w:color="auto"/>
              <w:bottom w:val="single" w:sz="4" w:space="0" w:color="auto"/>
              <w:right w:val="single" w:sz="4" w:space="0" w:color="auto"/>
            </w:tcBorders>
            <w:shd w:val="clear" w:color="auto" w:fill="auto"/>
            <w:vAlign w:val="bottom"/>
          </w:tcPr>
          <w:p w14:paraId="27BA059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KELER</w:t>
            </w:r>
          </w:p>
        </w:tc>
        <w:tc>
          <w:tcPr>
            <w:tcW w:w="1986" w:type="dxa"/>
            <w:tcBorders>
              <w:top w:val="nil"/>
              <w:left w:val="nil"/>
              <w:bottom w:val="single" w:sz="4" w:space="0" w:color="auto"/>
              <w:right w:val="single" w:sz="4" w:space="0" w:color="auto"/>
            </w:tcBorders>
            <w:shd w:val="clear" w:color="auto" w:fill="auto"/>
            <w:noWrap/>
            <w:vAlign w:val="bottom"/>
            <w:hideMark/>
          </w:tcPr>
          <w:p w14:paraId="2675FC4D"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175CEC85"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HU</w:t>
            </w:r>
          </w:p>
        </w:tc>
      </w:tr>
      <w:tr w:rsidR="003B28B4" w:rsidRPr="00817C57" w14:paraId="263E6CC4"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2EF33F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Nasdaq CSD</w:t>
            </w:r>
          </w:p>
        </w:tc>
        <w:tc>
          <w:tcPr>
            <w:tcW w:w="3817" w:type="dxa"/>
            <w:tcBorders>
              <w:top w:val="nil"/>
              <w:left w:val="single" w:sz="4" w:space="0" w:color="auto"/>
              <w:bottom w:val="single" w:sz="4" w:space="0" w:color="auto"/>
              <w:right w:val="single" w:sz="4" w:space="0" w:color="auto"/>
            </w:tcBorders>
            <w:shd w:val="clear" w:color="auto" w:fill="auto"/>
            <w:vAlign w:val="bottom"/>
          </w:tcPr>
          <w:p w14:paraId="3DAAA1B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p>
        </w:tc>
        <w:tc>
          <w:tcPr>
            <w:tcW w:w="1986" w:type="dxa"/>
            <w:tcBorders>
              <w:top w:val="nil"/>
              <w:left w:val="nil"/>
              <w:bottom w:val="single" w:sz="4" w:space="0" w:color="auto"/>
              <w:right w:val="single" w:sz="4" w:space="0" w:color="auto"/>
            </w:tcBorders>
            <w:shd w:val="clear" w:color="auto" w:fill="auto"/>
            <w:noWrap/>
            <w:vAlign w:val="bottom"/>
            <w:hideMark/>
          </w:tcPr>
          <w:p w14:paraId="560BC346"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NASDAQ OMX</w:t>
            </w:r>
          </w:p>
        </w:tc>
        <w:tc>
          <w:tcPr>
            <w:tcW w:w="747" w:type="dxa"/>
            <w:tcBorders>
              <w:top w:val="nil"/>
              <w:left w:val="nil"/>
              <w:bottom w:val="single" w:sz="4" w:space="0" w:color="auto"/>
              <w:right w:val="single" w:sz="4" w:space="0" w:color="auto"/>
            </w:tcBorders>
            <w:shd w:val="clear" w:color="auto" w:fill="auto"/>
            <w:noWrap/>
            <w:vAlign w:val="bottom"/>
            <w:hideMark/>
          </w:tcPr>
          <w:p w14:paraId="1C4F38B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LV</w:t>
            </w:r>
          </w:p>
        </w:tc>
      </w:tr>
      <w:tr w:rsidR="003B28B4" w:rsidRPr="00817C57" w14:paraId="1F43F275"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3DF50D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xml:space="preserve">Nasdaq CSD </w:t>
            </w:r>
          </w:p>
        </w:tc>
        <w:tc>
          <w:tcPr>
            <w:tcW w:w="3817" w:type="dxa"/>
            <w:tcBorders>
              <w:top w:val="nil"/>
              <w:left w:val="single" w:sz="4" w:space="0" w:color="auto"/>
              <w:bottom w:val="single" w:sz="4" w:space="0" w:color="auto"/>
              <w:right w:val="single" w:sz="4" w:space="0" w:color="auto"/>
            </w:tcBorders>
            <w:shd w:val="clear" w:color="auto" w:fill="auto"/>
            <w:vAlign w:val="bottom"/>
          </w:tcPr>
          <w:p w14:paraId="692D9721"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p>
        </w:tc>
        <w:tc>
          <w:tcPr>
            <w:tcW w:w="1986" w:type="dxa"/>
            <w:tcBorders>
              <w:top w:val="nil"/>
              <w:left w:val="nil"/>
              <w:bottom w:val="single" w:sz="4" w:space="0" w:color="auto"/>
              <w:right w:val="single" w:sz="4" w:space="0" w:color="auto"/>
            </w:tcBorders>
            <w:shd w:val="clear" w:color="auto" w:fill="auto"/>
            <w:noWrap/>
            <w:vAlign w:val="bottom"/>
            <w:hideMark/>
          </w:tcPr>
          <w:p w14:paraId="150BC85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NASDAQ OMX</w:t>
            </w:r>
          </w:p>
        </w:tc>
        <w:tc>
          <w:tcPr>
            <w:tcW w:w="747" w:type="dxa"/>
            <w:tcBorders>
              <w:top w:val="nil"/>
              <w:left w:val="nil"/>
              <w:bottom w:val="single" w:sz="4" w:space="0" w:color="auto"/>
              <w:right w:val="single" w:sz="4" w:space="0" w:color="auto"/>
            </w:tcBorders>
            <w:shd w:val="clear" w:color="auto" w:fill="auto"/>
            <w:noWrap/>
            <w:vAlign w:val="bottom"/>
            <w:hideMark/>
          </w:tcPr>
          <w:p w14:paraId="0010CAE2"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LT</w:t>
            </w:r>
          </w:p>
        </w:tc>
      </w:tr>
      <w:tr w:rsidR="003B28B4" w:rsidRPr="00817C57" w14:paraId="73003E53"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CB92862"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LUX CSD</w:t>
            </w:r>
          </w:p>
        </w:tc>
        <w:tc>
          <w:tcPr>
            <w:tcW w:w="3817" w:type="dxa"/>
            <w:tcBorders>
              <w:top w:val="nil"/>
              <w:left w:val="single" w:sz="4" w:space="0" w:color="auto"/>
              <w:bottom w:val="single" w:sz="4" w:space="0" w:color="auto"/>
              <w:right w:val="single" w:sz="4" w:space="0" w:color="auto"/>
            </w:tcBorders>
            <w:shd w:val="clear" w:color="auto" w:fill="auto"/>
            <w:vAlign w:val="bottom"/>
          </w:tcPr>
          <w:p w14:paraId="364EE95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LUX CSD</w:t>
            </w:r>
          </w:p>
        </w:tc>
        <w:tc>
          <w:tcPr>
            <w:tcW w:w="1986" w:type="dxa"/>
            <w:tcBorders>
              <w:top w:val="nil"/>
              <w:left w:val="nil"/>
              <w:bottom w:val="single" w:sz="4" w:space="0" w:color="auto"/>
              <w:right w:val="single" w:sz="4" w:space="0" w:color="auto"/>
            </w:tcBorders>
            <w:shd w:val="clear" w:color="auto" w:fill="auto"/>
            <w:noWrap/>
            <w:vAlign w:val="bottom"/>
            <w:hideMark/>
          </w:tcPr>
          <w:p w14:paraId="0C5B12E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Deutsche Börse</w:t>
            </w:r>
          </w:p>
        </w:tc>
        <w:tc>
          <w:tcPr>
            <w:tcW w:w="747" w:type="dxa"/>
            <w:tcBorders>
              <w:top w:val="nil"/>
              <w:left w:val="nil"/>
              <w:bottom w:val="single" w:sz="4" w:space="0" w:color="auto"/>
              <w:right w:val="single" w:sz="4" w:space="0" w:color="auto"/>
            </w:tcBorders>
            <w:shd w:val="clear" w:color="auto" w:fill="auto"/>
            <w:noWrap/>
            <w:vAlign w:val="bottom"/>
            <w:hideMark/>
          </w:tcPr>
          <w:p w14:paraId="1CF1601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LU</w:t>
            </w:r>
          </w:p>
        </w:tc>
      </w:tr>
      <w:tr w:rsidR="003B28B4" w:rsidRPr="00817C57" w14:paraId="0FEA206B"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B63EC8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Malta Stock Exchange CSD</w:t>
            </w:r>
          </w:p>
        </w:tc>
        <w:tc>
          <w:tcPr>
            <w:tcW w:w="3817" w:type="dxa"/>
            <w:tcBorders>
              <w:top w:val="nil"/>
              <w:left w:val="single" w:sz="4" w:space="0" w:color="auto"/>
              <w:bottom w:val="single" w:sz="4" w:space="0" w:color="auto"/>
              <w:right w:val="single" w:sz="4" w:space="0" w:color="auto"/>
            </w:tcBorders>
            <w:shd w:val="clear" w:color="auto" w:fill="auto"/>
            <w:vAlign w:val="bottom"/>
          </w:tcPr>
          <w:p w14:paraId="737643A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Malta Stock Exchange CSD</w:t>
            </w:r>
          </w:p>
        </w:tc>
        <w:tc>
          <w:tcPr>
            <w:tcW w:w="1986" w:type="dxa"/>
            <w:tcBorders>
              <w:top w:val="nil"/>
              <w:left w:val="nil"/>
              <w:bottom w:val="single" w:sz="4" w:space="0" w:color="auto"/>
              <w:right w:val="single" w:sz="4" w:space="0" w:color="auto"/>
            </w:tcBorders>
            <w:shd w:val="clear" w:color="auto" w:fill="auto"/>
            <w:noWrap/>
            <w:vAlign w:val="bottom"/>
            <w:hideMark/>
          </w:tcPr>
          <w:p w14:paraId="1B0EF9B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288EF8C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MT</w:t>
            </w:r>
          </w:p>
        </w:tc>
      </w:tr>
      <w:tr w:rsidR="003B28B4" w:rsidRPr="00817C57" w14:paraId="020A51C8"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3EA589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Monte Titoli</w:t>
            </w:r>
          </w:p>
        </w:tc>
        <w:tc>
          <w:tcPr>
            <w:tcW w:w="3817" w:type="dxa"/>
            <w:tcBorders>
              <w:top w:val="nil"/>
              <w:left w:val="single" w:sz="4" w:space="0" w:color="auto"/>
              <w:bottom w:val="single" w:sz="4" w:space="0" w:color="auto"/>
              <w:right w:val="single" w:sz="4" w:space="0" w:color="auto"/>
            </w:tcBorders>
            <w:shd w:val="clear" w:color="auto" w:fill="auto"/>
            <w:vAlign w:val="bottom"/>
          </w:tcPr>
          <w:p w14:paraId="7055DA7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Monte Titoli</w:t>
            </w:r>
          </w:p>
        </w:tc>
        <w:tc>
          <w:tcPr>
            <w:tcW w:w="1986" w:type="dxa"/>
            <w:tcBorders>
              <w:top w:val="nil"/>
              <w:left w:val="nil"/>
              <w:bottom w:val="single" w:sz="4" w:space="0" w:color="auto"/>
              <w:right w:val="single" w:sz="4" w:space="0" w:color="auto"/>
            </w:tcBorders>
            <w:shd w:val="clear" w:color="auto" w:fill="auto"/>
            <w:noWrap/>
            <w:vAlign w:val="bottom"/>
            <w:hideMark/>
          </w:tcPr>
          <w:p w14:paraId="28AB153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London Stock Exchange</w:t>
            </w:r>
          </w:p>
        </w:tc>
        <w:tc>
          <w:tcPr>
            <w:tcW w:w="747" w:type="dxa"/>
            <w:tcBorders>
              <w:top w:val="nil"/>
              <w:left w:val="nil"/>
              <w:bottom w:val="single" w:sz="4" w:space="0" w:color="auto"/>
              <w:right w:val="single" w:sz="4" w:space="0" w:color="auto"/>
            </w:tcBorders>
            <w:shd w:val="clear" w:color="auto" w:fill="auto"/>
            <w:noWrap/>
            <w:vAlign w:val="bottom"/>
            <w:hideMark/>
          </w:tcPr>
          <w:p w14:paraId="4659E746"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IT</w:t>
            </w:r>
          </w:p>
        </w:tc>
      </w:tr>
      <w:tr w:rsidR="003B28B4" w:rsidRPr="00817C57" w14:paraId="2292D0B2"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0F027F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nCDCP</w:t>
            </w:r>
          </w:p>
        </w:tc>
        <w:tc>
          <w:tcPr>
            <w:tcW w:w="3817" w:type="dxa"/>
            <w:tcBorders>
              <w:top w:val="nil"/>
              <w:left w:val="single" w:sz="4" w:space="0" w:color="auto"/>
              <w:bottom w:val="single" w:sz="4" w:space="0" w:color="auto"/>
              <w:right w:val="single" w:sz="4" w:space="0" w:color="auto"/>
            </w:tcBorders>
            <w:shd w:val="clear" w:color="auto" w:fill="auto"/>
            <w:vAlign w:val="bottom"/>
          </w:tcPr>
          <w:p w14:paraId="783A256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Národný Centralny Depositar Cennych Papierov SR</w:t>
            </w:r>
          </w:p>
        </w:tc>
        <w:tc>
          <w:tcPr>
            <w:tcW w:w="1986" w:type="dxa"/>
            <w:tcBorders>
              <w:top w:val="nil"/>
              <w:left w:val="nil"/>
              <w:bottom w:val="single" w:sz="4" w:space="0" w:color="auto"/>
              <w:right w:val="single" w:sz="4" w:space="0" w:color="auto"/>
            </w:tcBorders>
            <w:shd w:val="clear" w:color="auto" w:fill="auto"/>
            <w:noWrap/>
            <w:vAlign w:val="bottom"/>
            <w:hideMark/>
          </w:tcPr>
          <w:p w14:paraId="69BA5FE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2DFEC9D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SK</w:t>
            </w:r>
          </w:p>
        </w:tc>
      </w:tr>
      <w:tr w:rsidR="003B28B4" w:rsidRPr="00817C57" w14:paraId="4832D01C"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55CF2F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NBB SSS</w:t>
            </w:r>
          </w:p>
        </w:tc>
        <w:tc>
          <w:tcPr>
            <w:tcW w:w="3817" w:type="dxa"/>
            <w:tcBorders>
              <w:top w:val="nil"/>
              <w:left w:val="single" w:sz="4" w:space="0" w:color="auto"/>
              <w:bottom w:val="single" w:sz="4" w:space="0" w:color="auto"/>
              <w:right w:val="single" w:sz="4" w:space="0" w:color="auto"/>
            </w:tcBorders>
            <w:shd w:val="clear" w:color="auto" w:fill="auto"/>
            <w:vAlign w:val="bottom"/>
          </w:tcPr>
          <w:p w14:paraId="09E2A1D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NBB SSS</w:t>
            </w:r>
          </w:p>
        </w:tc>
        <w:tc>
          <w:tcPr>
            <w:tcW w:w="1986" w:type="dxa"/>
            <w:tcBorders>
              <w:top w:val="nil"/>
              <w:left w:val="nil"/>
              <w:bottom w:val="single" w:sz="4" w:space="0" w:color="auto"/>
              <w:right w:val="single" w:sz="4" w:space="0" w:color="auto"/>
            </w:tcBorders>
            <w:shd w:val="clear" w:color="auto" w:fill="auto"/>
            <w:noWrap/>
            <w:vAlign w:val="bottom"/>
            <w:hideMark/>
          </w:tcPr>
          <w:p w14:paraId="566764F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NBB</w:t>
            </w:r>
          </w:p>
        </w:tc>
        <w:tc>
          <w:tcPr>
            <w:tcW w:w="747" w:type="dxa"/>
            <w:tcBorders>
              <w:top w:val="nil"/>
              <w:left w:val="nil"/>
              <w:bottom w:val="single" w:sz="4" w:space="0" w:color="auto"/>
              <w:right w:val="single" w:sz="4" w:space="0" w:color="auto"/>
            </w:tcBorders>
            <w:shd w:val="clear" w:color="auto" w:fill="auto"/>
            <w:noWrap/>
            <w:vAlign w:val="bottom"/>
            <w:hideMark/>
          </w:tcPr>
          <w:p w14:paraId="5799F402"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BE</w:t>
            </w:r>
          </w:p>
        </w:tc>
      </w:tr>
      <w:tr w:rsidR="003B28B4" w:rsidRPr="00817C57" w14:paraId="6E415051"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066A4C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OeKB CSD</w:t>
            </w:r>
          </w:p>
        </w:tc>
        <w:tc>
          <w:tcPr>
            <w:tcW w:w="3817" w:type="dxa"/>
            <w:tcBorders>
              <w:top w:val="nil"/>
              <w:left w:val="single" w:sz="4" w:space="0" w:color="auto"/>
              <w:bottom w:val="single" w:sz="4" w:space="0" w:color="auto"/>
              <w:right w:val="single" w:sz="4" w:space="0" w:color="auto"/>
            </w:tcBorders>
            <w:shd w:val="clear" w:color="auto" w:fill="auto"/>
            <w:vAlign w:val="bottom"/>
          </w:tcPr>
          <w:p w14:paraId="5CCC41A1"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OeKB CSD (WSB System)</w:t>
            </w:r>
          </w:p>
        </w:tc>
        <w:tc>
          <w:tcPr>
            <w:tcW w:w="1986" w:type="dxa"/>
            <w:tcBorders>
              <w:top w:val="nil"/>
              <w:left w:val="nil"/>
              <w:bottom w:val="single" w:sz="4" w:space="0" w:color="auto"/>
              <w:right w:val="single" w:sz="4" w:space="0" w:color="auto"/>
            </w:tcBorders>
            <w:shd w:val="clear" w:color="auto" w:fill="auto"/>
            <w:noWrap/>
            <w:vAlign w:val="bottom"/>
            <w:hideMark/>
          </w:tcPr>
          <w:p w14:paraId="22FEA77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1E6A476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AT</w:t>
            </w:r>
          </w:p>
        </w:tc>
      </w:tr>
      <w:tr w:rsidR="003B28B4" w:rsidRPr="00817C57" w14:paraId="74FC0DF7"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AB32BD6"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SAFIR</w:t>
            </w:r>
          </w:p>
        </w:tc>
        <w:tc>
          <w:tcPr>
            <w:tcW w:w="3817" w:type="dxa"/>
            <w:tcBorders>
              <w:top w:val="nil"/>
              <w:left w:val="single" w:sz="4" w:space="0" w:color="auto"/>
              <w:bottom w:val="single" w:sz="4" w:space="0" w:color="auto"/>
              <w:right w:val="single" w:sz="4" w:space="0" w:color="auto"/>
            </w:tcBorders>
            <w:shd w:val="clear" w:color="auto" w:fill="auto"/>
            <w:vAlign w:val="bottom"/>
          </w:tcPr>
          <w:p w14:paraId="26A586B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SAFIR</w:t>
            </w:r>
          </w:p>
        </w:tc>
        <w:tc>
          <w:tcPr>
            <w:tcW w:w="1986" w:type="dxa"/>
            <w:tcBorders>
              <w:top w:val="nil"/>
              <w:left w:val="nil"/>
              <w:bottom w:val="single" w:sz="4" w:space="0" w:color="auto"/>
              <w:right w:val="single" w:sz="4" w:space="0" w:color="auto"/>
            </w:tcBorders>
            <w:shd w:val="clear" w:color="auto" w:fill="auto"/>
            <w:noWrap/>
            <w:vAlign w:val="bottom"/>
            <w:hideMark/>
          </w:tcPr>
          <w:p w14:paraId="372CCE8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xml:space="preserve">Banca Nationala a Romaniei </w:t>
            </w:r>
          </w:p>
        </w:tc>
        <w:tc>
          <w:tcPr>
            <w:tcW w:w="747" w:type="dxa"/>
            <w:tcBorders>
              <w:top w:val="nil"/>
              <w:left w:val="nil"/>
              <w:bottom w:val="single" w:sz="4" w:space="0" w:color="auto"/>
              <w:right w:val="single" w:sz="4" w:space="0" w:color="auto"/>
            </w:tcBorders>
            <w:shd w:val="clear" w:color="auto" w:fill="auto"/>
            <w:noWrap/>
            <w:vAlign w:val="bottom"/>
            <w:hideMark/>
          </w:tcPr>
          <w:p w14:paraId="4CFBDA8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RO</w:t>
            </w:r>
          </w:p>
        </w:tc>
      </w:tr>
      <w:tr w:rsidR="003B28B4" w:rsidRPr="00817C57" w14:paraId="324F46D9"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4B0A62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SIX SIS</w:t>
            </w:r>
          </w:p>
        </w:tc>
        <w:tc>
          <w:tcPr>
            <w:tcW w:w="3817" w:type="dxa"/>
            <w:tcBorders>
              <w:top w:val="nil"/>
              <w:left w:val="single" w:sz="4" w:space="0" w:color="auto"/>
              <w:bottom w:val="single" w:sz="4" w:space="0" w:color="auto"/>
              <w:right w:val="single" w:sz="4" w:space="0" w:color="auto"/>
            </w:tcBorders>
            <w:shd w:val="clear" w:color="auto" w:fill="auto"/>
            <w:vAlign w:val="bottom"/>
          </w:tcPr>
          <w:p w14:paraId="07E315E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SIX SIS</w:t>
            </w:r>
          </w:p>
        </w:tc>
        <w:tc>
          <w:tcPr>
            <w:tcW w:w="1986" w:type="dxa"/>
            <w:tcBorders>
              <w:top w:val="nil"/>
              <w:left w:val="nil"/>
              <w:bottom w:val="single" w:sz="4" w:space="0" w:color="auto"/>
              <w:right w:val="single" w:sz="4" w:space="0" w:color="auto"/>
            </w:tcBorders>
            <w:shd w:val="clear" w:color="auto" w:fill="auto"/>
            <w:noWrap/>
            <w:vAlign w:val="bottom"/>
            <w:hideMark/>
          </w:tcPr>
          <w:p w14:paraId="2DCB78A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SIX SIS</w:t>
            </w:r>
          </w:p>
        </w:tc>
        <w:tc>
          <w:tcPr>
            <w:tcW w:w="747" w:type="dxa"/>
            <w:tcBorders>
              <w:top w:val="nil"/>
              <w:left w:val="nil"/>
              <w:bottom w:val="single" w:sz="4" w:space="0" w:color="auto"/>
              <w:right w:val="single" w:sz="4" w:space="0" w:color="auto"/>
            </w:tcBorders>
            <w:shd w:val="clear" w:color="auto" w:fill="auto"/>
            <w:noWrap/>
            <w:vAlign w:val="bottom"/>
            <w:hideMark/>
          </w:tcPr>
          <w:p w14:paraId="71DFD08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CH</w:t>
            </w:r>
          </w:p>
        </w:tc>
      </w:tr>
      <w:tr w:rsidR="003B28B4" w:rsidRPr="00817C57" w14:paraId="747A7284"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65DC614"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SKARBNET4</w:t>
            </w:r>
          </w:p>
        </w:tc>
        <w:tc>
          <w:tcPr>
            <w:tcW w:w="3817" w:type="dxa"/>
            <w:tcBorders>
              <w:top w:val="nil"/>
              <w:left w:val="single" w:sz="4" w:space="0" w:color="auto"/>
              <w:bottom w:val="single" w:sz="4" w:space="0" w:color="auto"/>
              <w:right w:val="single" w:sz="4" w:space="0" w:color="auto"/>
            </w:tcBorders>
            <w:shd w:val="clear" w:color="auto" w:fill="auto"/>
            <w:vAlign w:val="bottom"/>
          </w:tcPr>
          <w:p w14:paraId="7684BF89"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SKARBNET4</w:t>
            </w:r>
          </w:p>
        </w:tc>
        <w:tc>
          <w:tcPr>
            <w:tcW w:w="1986" w:type="dxa"/>
            <w:tcBorders>
              <w:top w:val="nil"/>
              <w:left w:val="nil"/>
              <w:bottom w:val="single" w:sz="4" w:space="0" w:color="auto"/>
              <w:right w:val="single" w:sz="4" w:space="0" w:color="auto"/>
            </w:tcBorders>
            <w:shd w:val="clear" w:color="auto" w:fill="auto"/>
            <w:noWrap/>
            <w:vAlign w:val="bottom"/>
            <w:hideMark/>
          </w:tcPr>
          <w:p w14:paraId="5DB4D58A"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Narodowy Bank Polski</w:t>
            </w:r>
          </w:p>
        </w:tc>
        <w:tc>
          <w:tcPr>
            <w:tcW w:w="747" w:type="dxa"/>
            <w:tcBorders>
              <w:top w:val="nil"/>
              <w:left w:val="nil"/>
              <w:bottom w:val="single" w:sz="4" w:space="0" w:color="auto"/>
              <w:right w:val="single" w:sz="4" w:space="0" w:color="auto"/>
            </w:tcBorders>
            <w:shd w:val="clear" w:color="auto" w:fill="auto"/>
            <w:noWrap/>
            <w:vAlign w:val="bottom"/>
            <w:hideMark/>
          </w:tcPr>
          <w:p w14:paraId="7D71093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PL</w:t>
            </w:r>
          </w:p>
        </w:tc>
      </w:tr>
      <w:tr w:rsidR="003B28B4" w:rsidRPr="00817C57" w14:paraId="5EA82B2E"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8882A5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SKD</w:t>
            </w:r>
          </w:p>
        </w:tc>
        <w:tc>
          <w:tcPr>
            <w:tcW w:w="3817" w:type="dxa"/>
            <w:tcBorders>
              <w:top w:val="nil"/>
              <w:left w:val="single" w:sz="4" w:space="0" w:color="auto"/>
              <w:bottom w:val="single" w:sz="4" w:space="0" w:color="auto"/>
              <w:right w:val="single" w:sz="4" w:space="0" w:color="auto"/>
            </w:tcBorders>
            <w:shd w:val="clear" w:color="auto" w:fill="auto"/>
            <w:vAlign w:val="bottom"/>
          </w:tcPr>
          <w:p w14:paraId="3ACE07BB"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SKD (Short Term Bond System)</w:t>
            </w:r>
          </w:p>
        </w:tc>
        <w:tc>
          <w:tcPr>
            <w:tcW w:w="1986" w:type="dxa"/>
            <w:tcBorders>
              <w:top w:val="nil"/>
              <w:left w:val="nil"/>
              <w:bottom w:val="single" w:sz="4" w:space="0" w:color="auto"/>
              <w:right w:val="single" w:sz="4" w:space="0" w:color="auto"/>
            </w:tcBorders>
            <w:shd w:val="clear" w:color="auto" w:fill="auto"/>
            <w:noWrap/>
            <w:vAlign w:val="bottom"/>
            <w:hideMark/>
          </w:tcPr>
          <w:p w14:paraId="0D0B5186"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Czech National Bank</w:t>
            </w:r>
          </w:p>
        </w:tc>
        <w:tc>
          <w:tcPr>
            <w:tcW w:w="747" w:type="dxa"/>
            <w:tcBorders>
              <w:top w:val="nil"/>
              <w:left w:val="nil"/>
              <w:bottom w:val="single" w:sz="4" w:space="0" w:color="auto"/>
              <w:right w:val="single" w:sz="4" w:space="0" w:color="auto"/>
            </w:tcBorders>
            <w:shd w:val="clear" w:color="auto" w:fill="auto"/>
            <w:noWrap/>
            <w:vAlign w:val="bottom"/>
            <w:hideMark/>
          </w:tcPr>
          <w:p w14:paraId="06434B30"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CZ</w:t>
            </w:r>
          </w:p>
        </w:tc>
      </w:tr>
      <w:tr w:rsidR="003B28B4" w:rsidRPr="00817C57" w14:paraId="17C01A38"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48D6D22"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VPS</w:t>
            </w:r>
          </w:p>
        </w:tc>
        <w:tc>
          <w:tcPr>
            <w:tcW w:w="3817" w:type="dxa"/>
            <w:tcBorders>
              <w:top w:val="nil"/>
              <w:left w:val="single" w:sz="4" w:space="0" w:color="auto"/>
              <w:bottom w:val="single" w:sz="4" w:space="0" w:color="auto"/>
              <w:right w:val="single" w:sz="4" w:space="0" w:color="auto"/>
            </w:tcBorders>
            <w:shd w:val="clear" w:color="auto" w:fill="auto"/>
            <w:vAlign w:val="bottom"/>
          </w:tcPr>
          <w:p w14:paraId="70A0A0FE"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Verdipapirsentralen (VPS)</w:t>
            </w:r>
          </w:p>
        </w:tc>
        <w:tc>
          <w:tcPr>
            <w:tcW w:w="1986" w:type="dxa"/>
            <w:tcBorders>
              <w:top w:val="nil"/>
              <w:left w:val="nil"/>
              <w:bottom w:val="single" w:sz="4" w:space="0" w:color="auto"/>
              <w:right w:val="single" w:sz="4" w:space="0" w:color="auto"/>
            </w:tcBorders>
            <w:shd w:val="clear" w:color="auto" w:fill="auto"/>
            <w:noWrap/>
            <w:vAlign w:val="bottom"/>
            <w:hideMark/>
          </w:tcPr>
          <w:p w14:paraId="5D4D22FD"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 </w:t>
            </w:r>
          </w:p>
        </w:tc>
        <w:tc>
          <w:tcPr>
            <w:tcW w:w="747" w:type="dxa"/>
            <w:tcBorders>
              <w:top w:val="nil"/>
              <w:left w:val="nil"/>
              <w:bottom w:val="single" w:sz="4" w:space="0" w:color="auto"/>
              <w:right w:val="single" w:sz="4" w:space="0" w:color="auto"/>
            </w:tcBorders>
            <w:shd w:val="clear" w:color="auto" w:fill="auto"/>
            <w:noWrap/>
            <w:vAlign w:val="bottom"/>
            <w:hideMark/>
          </w:tcPr>
          <w:p w14:paraId="73442158"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NO</w:t>
            </w:r>
          </w:p>
        </w:tc>
      </w:tr>
      <w:tr w:rsidR="003B28B4" w:rsidRPr="00817C57" w14:paraId="5B8E8604"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FBA838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VP Lux</w:t>
            </w:r>
          </w:p>
        </w:tc>
        <w:tc>
          <w:tcPr>
            <w:tcW w:w="3817" w:type="dxa"/>
            <w:tcBorders>
              <w:top w:val="nil"/>
              <w:left w:val="single" w:sz="4" w:space="0" w:color="auto"/>
              <w:bottom w:val="single" w:sz="4" w:space="0" w:color="auto"/>
              <w:right w:val="single" w:sz="4" w:space="0" w:color="auto"/>
            </w:tcBorders>
            <w:shd w:val="clear" w:color="auto" w:fill="auto"/>
            <w:vAlign w:val="bottom"/>
          </w:tcPr>
          <w:p w14:paraId="715499D2"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VP Lux</w:t>
            </w:r>
          </w:p>
        </w:tc>
        <w:tc>
          <w:tcPr>
            <w:tcW w:w="1986" w:type="dxa"/>
            <w:tcBorders>
              <w:top w:val="nil"/>
              <w:left w:val="nil"/>
              <w:bottom w:val="single" w:sz="4" w:space="0" w:color="auto"/>
              <w:right w:val="single" w:sz="4" w:space="0" w:color="auto"/>
            </w:tcBorders>
            <w:shd w:val="clear" w:color="auto" w:fill="auto"/>
            <w:noWrap/>
            <w:vAlign w:val="bottom"/>
            <w:hideMark/>
          </w:tcPr>
          <w:p w14:paraId="559E0DF1"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VP Securities AS</w:t>
            </w:r>
          </w:p>
        </w:tc>
        <w:tc>
          <w:tcPr>
            <w:tcW w:w="747" w:type="dxa"/>
            <w:tcBorders>
              <w:top w:val="nil"/>
              <w:left w:val="nil"/>
              <w:bottom w:val="single" w:sz="4" w:space="0" w:color="auto"/>
              <w:right w:val="single" w:sz="4" w:space="0" w:color="auto"/>
            </w:tcBorders>
            <w:shd w:val="clear" w:color="auto" w:fill="auto"/>
            <w:noWrap/>
            <w:vAlign w:val="bottom"/>
            <w:hideMark/>
          </w:tcPr>
          <w:p w14:paraId="2B89ABBF"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LU</w:t>
            </w:r>
          </w:p>
        </w:tc>
      </w:tr>
      <w:tr w:rsidR="003B28B4" w:rsidRPr="00817C57" w14:paraId="5083F86F" w14:textId="77777777" w:rsidTr="003B28B4">
        <w:trPr>
          <w:trHeight w:val="300"/>
        </w:trPr>
        <w:tc>
          <w:tcPr>
            <w:tcW w:w="3256"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5B83A2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VP Securities</w:t>
            </w:r>
          </w:p>
        </w:tc>
        <w:tc>
          <w:tcPr>
            <w:tcW w:w="3817" w:type="dxa"/>
            <w:tcBorders>
              <w:top w:val="nil"/>
              <w:left w:val="single" w:sz="4" w:space="0" w:color="auto"/>
              <w:bottom w:val="single" w:sz="4" w:space="0" w:color="auto"/>
              <w:right w:val="single" w:sz="4" w:space="0" w:color="auto"/>
            </w:tcBorders>
            <w:shd w:val="clear" w:color="auto" w:fill="auto"/>
            <w:vAlign w:val="bottom"/>
          </w:tcPr>
          <w:p w14:paraId="079C60FC"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VP Securities</w:t>
            </w:r>
          </w:p>
        </w:tc>
        <w:tc>
          <w:tcPr>
            <w:tcW w:w="1986" w:type="dxa"/>
            <w:tcBorders>
              <w:top w:val="nil"/>
              <w:left w:val="nil"/>
              <w:bottom w:val="single" w:sz="4" w:space="0" w:color="auto"/>
              <w:right w:val="single" w:sz="4" w:space="0" w:color="auto"/>
            </w:tcBorders>
            <w:shd w:val="clear" w:color="auto" w:fill="auto"/>
            <w:noWrap/>
            <w:vAlign w:val="bottom"/>
            <w:hideMark/>
          </w:tcPr>
          <w:p w14:paraId="15416377"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VP Securities AS</w:t>
            </w:r>
          </w:p>
        </w:tc>
        <w:tc>
          <w:tcPr>
            <w:tcW w:w="747" w:type="dxa"/>
            <w:tcBorders>
              <w:top w:val="nil"/>
              <w:left w:val="nil"/>
              <w:bottom w:val="single" w:sz="4" w:space="0" w:color="auto"/>
              <w:right w:val="single" w:sz="4" w:space="0" w:color="auto"/>
            </w:tcBorders>
            <w:shd w:val="clear" w:color="auto" w:fill="auto"/>
            <w:noWrap/>
            <w:vAlign w:val="bottom"/>
            <w:hideMark/>
          </w:tcPr>
          <w:p w14:paraId="08917D63" w14:textId="77777777" w:rsidR="003B28B4" w:rsidRPr="00817C57" w:rsidRDefault="003B28B4" w:rsidP="00742738">
            <w:pPr>
              <w:spacing w:line="240" w:lineRule="auto"/>
              <w:jc w:val="left"/>
              <w:rPr>
                <w:rFonts w:ascii="Calibri" w:eastAsia="Times New Roman" w:hAnsi="Calibri" w:cs="Times New Roman"/>
                <w:sz w:val="16"/>
                <w:szCs w:val="16"/>
                <w:lang w:val="en-GB" w:eastAsia="en-GB"/>
              </w:rPr>
            </w:pPr>
            <w:r w:rsidRPr="00817C57">
              <w:rPr>
                <w:rFonts w:ascii="Calibri" w:eastAsia="Times New Roman" w:hAnsi="Calibri" w:cs="Times New Roman"/>
                <w:sz w:val="16"/>
                <w:szCs w:val="16"/>
                <w:lang w:val="en-GB" w:eastAsia="en-GB"/>
              </w:rPr>
              <w:t>DK</w:t>
            </w:r>
          </w:p>
        </w:tc>
      </w:tr>
    </w:tbl>
    <w:p w14:paraId="166EFC86" w14:textId="6602A104" w:rsidR="005C6B23" w:rsidRDefault="005C6B23" w:rsidP="00FC47FC">
      <w:pPr>
        <w:rPr>
          <w:rFonts w:ascii="Cambria" w:hAnsi="Cambria"/>
          <w:lang w:val="en-GB"/>
        </w:rPr>
      </w:pPr>
    </w:p>
    <w:p w14:paraId="624FC3FE" w14:textId="77777777" w:rsidR="005C6B23" w:rsidRPr="00C243CD" w:rsidRDefault="005C6B23" w:rsidP="00FC47FC">
      <w:pPr>
        <w:rPr>
          <w:rFonts w:ascii="Cambria" w:hAnsi="Cambria"/>
          <w:lang w:val="en-GB"/>
        </w:rPr>
      </w:pPr>
    </w:p>
    <w:p w14:paraId="54345E53" w14:textId="34A9B968" w:rsidR="00C51450" w:rsidRPr="00C243CD" w:rsidRDefault="001D45ED" w:rsidP="009474F1">
      <w:pPr>
        <w:pStyle w:val="Heading4"/>
        <w:rPr>
          <w:rFonts w:ascii="Cambria" w:hAnsi="Cambria"/>
          <w:lang w:val="en-GB"/>
        </w:rPr>
      </w:pPr>
      <w:r>
        <w:rPr>
          <w:rFonts w:ascii="Cambria" w:hAnsi="Cambria"/>
          <w:lang w:val="en-GB"/>
        </w:rPr>
        <w:t>c0</w:t>
      </w:r>
      <w:r w:rsidR="00C51450" w:rsidRPr="00C243CD">
        <w:rPr>
          <w:rFonts w:ascii="Cambria" w:hAnsi="Cambria"/>
          <w:lang w:val="en-GB"/>
        </w:rPr>
        <w:t>2</w:t>
      </w:r>
      <w:r w:rsidR="003E7184" w:rsidRPr="00C243CD">
        <w:rPr>
          <w:rFonts w:ascii="Cambria" w:hAnsi="Cambria"/>
          <w:lang w:val="en-GB"/>
        </w:rPr>
        <w:t>60</w:t>
      </w:r>
      <w:r w:rsidR="00C51450" w:rsidRPr="00C243CD">
        <w:rPr>
          <w:rFonts w:ascii="Cambria" w:hAnsi="Cambria"/>
          <w:lang w:val="en-GB"/>
        </w:rPr>
        <w:t xml:space="preserve"> - Secured/Unsecured</w:t>
      </w:r>
    </w:p>
    <w:p w14:paraId="78137289" w14:textId="77777777" w:rsidR="003D0B7A" w:rsidRPr="00C243CD" w:rsidRDefault="003D0B7A" w:rsidP="003D0B7A">
      <w:pPr>
        <w:rPr>
          <w:rFonts w:ascii="Cambria" w:hAnsi="Cambria"/>
          <w:lang w:val="en-GB"/>
        </w:rPr>
      </w:pPr>
      <w:r w:rsidRPr="00C243CD">
        <w:rPr>
          <w:rFonts w:ascii="Cambria" w:hAnsi="Cambria"/>
          <w:lang w:val="en-GB"/>
        </w:rPr>
        <w:t>Distinguish between securities that are subject to collateral agreements or not (i.e. secured by assets, pledge, lien or collateral) either ‘Secured’ or ‘Unsecured’ from a predefined list.</w:t>
      </w:r>
    </w:p>
    <w:p w14:paraId="1D1DF08D" w14:textId="49ED0EA1" w:rsidR="00D17D16" w:rsidRPr="00C243CD" w:rsidRDefault="001D45ED" w:rsidP="00D17D16">
      <w:pPr>
        <w:pStyle w:val="Heading4"/>
        <w:rPr>
          <w:rFonts w:ascii="Cambria" w:hAnsi="Cambria"/>
          <w:lang w:val="en-GB"/>
        </w:rPr>
      </w:pPr>
      <w:r>
        <w:rPr>
          <w:rFonts w:ascii="Cambria" w:hAnsi="Cambria"/>
          <w:lang w:val="en-GB"/>
        </w:rPr>
        <w:t>c0</w:t>
      </w:r>
      <w:r w:rsidR="005E3190" w:rsidRPr="00C243CD">
        <w:rPr>
          <w:rFonts w:ascii="Cambria" w:hAnsi="Cambria"/>
          <w:lang w:val="en-GB"/>
        </w:rPr>
        <w:t>2</w:t>
      </w:r>
      <w:r w:rsidR="003E7184" w:rsidRPr="00C243CD">
        <w:rPr>
          <w:rFonts w:ascii="Cambria" w:hAnsi="Cambria"/>
          <w:lang w:val="en-GB"/>
        </w:rPr>
        <w:t>70</w:t>
      </w:r>
      <w:r w:rsidR="005E3190" w:rsidRPr="00C243CD">
        <w:rPr>
          <w:rFonts w:ascii="Cambria" w:hAnsi="Cambria"/>
          <w:lang w:val="en-GB"/>
        </w:rPr>
        <w:t xml:space="preserve"> - </w:t>
      </w:r>
      <w:r w:rsidR="00D17D16" w:rsidRPr="00C243CD">
        <w:rPr>
          <w:rFonts w:ascii="Cambria" w:hAnsi="Cambria"/>
          <w:lang w:val="en-GB"/>
        </w:rPr>
        <w:t>Amount of pledge, lien or collateral</w:t>
      </w:r>
    </w:p>
    <w:p w14:paraId="20A21197" w14:textId="77777777" w:rsidR="00D17D16" w:rsidRPr="00C243CD" w:rsidRDefault="00D17D16" w:rsidP="00D17D16">
      <w:pPr>
        <w:rPr>
          <w:rFonts w:ascii="Cambria" w:hAnsi="Cambria"/>
          <w:lang w:val="en-GB"/>
        </w:rPr>
      </w:pPr>
      <w:r w:rsidRPr="00C243CD">
        <w:rPr>
          <w:rFonts w:ascii="Cambria" w:hAnsi="Cambria"/>
          <w:lang w:val="en-GB"/>
        </w:rPr>
        <w:t xml:space="preserve">Where a liability is secured by a pledge, lien or collateral, the gross </w:t>
      </w:r>
      <w:r w:rsidR="006A77BA" w:rsidRPr="00C243CD">
        <w:rPr>
          <w:rFonts w:ascii="Cambria" w:hAnsi="Cambria"/>
          <w:lang w:val="en-GB"/>
        </w:rPr>
        <w:t xml:space="preserve">market </w:t>
      </w:r>
      <w:r w:rsidRPr="00C243CD">
        <w:rPr>
          <w:rFonts w:ascii="Cambria" w:hAnsi="Cambria"/>
          <w:lang w:val="en-GB"/>
        </w:rPr>
        <w:t>value of the latter shall be provided. Otherwise, for unsecured liabilities this category shall be reported as nil.</w:t>
      </w:r>
      <w:r w:rsidR="00D9361E" w:rsidRPr="00C243CD">
        <w:rPr>
          <w:rFonts w:ascii="Cambria" w:hAnsi="Cambria"/>
          <w:lang w:val="en-GB"/>
        </w:rPr>
        <w:t xml:space="preserve"> This amount will determine the collateralized and eventually the uncollateralized part of any secured liability. For collateral pools securing multiple line items, the overall coverage ratio should be determined and applied </w:t>
      </w:r>
      <w:r w:rsidR="00D9361E" w:rsidRPr="00C243CD">
        <w:rPr>
          <w:rFonts w:ascii="Cambria" w:hAnsi="Cambria"/>
          <w:i/>
          <w:lang w:val="en-GB"/>
        </w:rPr>
        <w:t>pro rata</w:t>
      </w:r>
      <w:r w:rsidR="00D9361E" w:rsidRPr="00C243CD">
        <w:rPr>
          <w:rFonts w:ascii="Cambria" w:hAnsi="Cambria"/>
          <w:lang w:val="en-GB"/>
        </w:rPr>
        <w:t xml:space="preserve"> to all line items covered by this pool.</w:t>
      </w:r>
    </w:p>
    <w:p w14:paraId="04898276" w14:textId="165C98A0" w:rsidR="002B5DBA" w:rsidRPr="00C243CD" w:rsidRDefault="001D45ED" w:rsidP="00D17D16">
      <w:pPr>
        <w:pStyle w:val="Heading4"/>
        <w:rPr>
          <w:rFonts w:ascii="Cambria" w:hAnsi="Cambria"/>
          <w:lang w:val="en-GB"/>
        </w:rPr>
      </w:pPr>
      <w:r>
        <w:rPr>
          <w:rFonts w:ascii="Cambria" w:hAnsi="Cambria"/>
          <w:lang w:val="en-GB"/>
        </w:rPr>
        <w:t>c0</w:t>
      </w:r>
      <w:r w:rsidR="002B5DBA" w:rsidRPr="00C243CD">
        <w:rPr>
          <w:rFonts w:ascii="Cambria" w:hAnsi="Cambria"/>
          <w:lang w:val="en-GB"/>
        </w:rPr>
        <w:t>2</w:t>
      </w:r>
      <w:r w:rsidR="003E7184" w:rsidRPr="00C243CD">
        <w:rPr>
          <w:rFonts w:ascii="Cambria" w:hAnsi="Cambria"/>
          <w:lang w:val="en-GB"/>
        </w:rPr>
        <w:t>8</w:t>
      </w:r>
      <w:r w:rsidR="002B5DBA" w:rsidRPr="00C243CD">
        <w:rPr>
          <w:rFonts w:ascii="Cambria" w:hAnsi="Cambria"/>
          <w:lang w:val="en-GB"/>
        </w:rPr>
        <w:t>0 - Guarantor if applicable</w:t>
      </w:r>
    </w:p>
    <w:p w14:paraId="2A5E899D" w14:textId="77777777" w:rsidR="00965702" w:rsidRPr="00C243CD" w:rsidRDefault="00965702" w:rsidP="009474F1">
      <w:pPr>
        <w:rPr>
          <w:rFonts w:ascii="Cambria" w:hAnsi="Cambria"/>
          <w:lang w:val="en-GB"/>
        </w:rPr>
      </w:pPr>
      <w:r w:rsidRPr="00C243CD">
        <w:rPr>
          <w:rFonts w:ascii="Cambria" w:hAnsi="Cambria"/>
          <w:lang w:val="en-GB"/>
        </w:rPr>
        <w:t>If there are guarantees provided for the instrument, please provide a detailed identification of the guarantor (LEI code, ISO 3166-1 alpha-2 country code for government, etc.).</w:t>
      </w:r>
      <w:r w:rsidR="009E6BEB" w:rsidRPr="00C243CD">
        <w:rPr>
          <w:rFonts w:ascii="Cambria" w:hAnsi="Cambria"/>
          <w:lang w:val="en-GB"/>
        </w:rPr>
        <w:t xml:space="preserve"> Where multiple guarantors are present, the identifiers should all be reported, separated by a backslash.</w:t>
      </w:r>
    </w:p>
    <w:p w14:paraId="07D20DFA" w14:textId="2DF3C344" w:rsidR="002B5DBA" w:rsidRPr="00C243CD" w:rsidRDefault="001D45ED" w:rsidP="009474F1">
      <w:pPr>
        <w:pStyle w:val="Heading4"/>
        <w:rPr>
          <w:rFonts w:ascii="Cambria" w:hAnsi="Cambria"/>
          <w:lang w:val="en-GB"/>
        </w:rPr>
      </w:pPr>
      <w:r>
        <w:rPr>
          <w:rFonts w:ascii="Cambria" w:hAnsi="Cambria"/>
          <w:lang w:val="en-GB"/>
        </w:rPr>
        <w:t>c0</w:t>
      </w:r>
      <w:r w:rsidR="002B5DBA" w:rsidRPr="00C243CD">
        <w:rPr>
          <w:rFonts w:ascii="Cambria" w:hAnsi="Cambria"/>
          <w:lang w:val="en-GB"/>
        </w:rPr>
        <w:t>2</w:t>
      </w:r>
      <w:r w:rsidR="003E7184" w:rsidRPr="00C243CD">
        <w:rPr>
          <w:rFonts w:ascii="Cambria" w:hAnsi="Cambria"/>
          <w:lang w:val="en-GB"/>
        </w:rPr>
        <w:t>9</w:t>
      </w:r>
      <w:r w:rsidR="002B5DBA" w:rsidRPr="00C243CD">
        <w:rPr>
          <w:rFonts w:ascii="Cambria" w:hAnsi="Cambria"/>
          <w:lang w:val="en-GB"/>
        </w:rPr>
        <w:t>0 - Funding Amount Provided by Any Group Entity</w:t>
      </w:r>
    </w:p>
    <w:p w14:paraId="206EDD4E" w14:textId="77777777" w:rsidR="002B5DBA" w:rsidRPr="00C243CD" w:rsidRDefault="002B5DBA" w:rsidP="009474F1">
      <w:pPr>
        <w:rPr>
          <w:rFonts w:ascii="Cambria" w:hAnsi="Cambria"/>
          <w:lang w:val="en-GB"/>
        </w:rPr>
      </w:pPr>
      <w:r w:rsidRPr="00C243CD">
        <w:rPr>
          <w:rFonts w:ascii="Cambria" w:hAnsi="Cambria"/>
          <w:lang w:val="en-GB"/>
        </w:rPr>
        <w:t xml:space="preserve">Indicate the amount of funding that is provided to the creditor by the issuing entity or another group entity. This is in line with the BRRD requirement that eligible liabilities cannot be financed by the group/institution. The aim of such a disposition is to avoid that MREL liabilities would be directly/indirectly financed by the groups and </w:t>
      </w:r>
      <w:r w:rsidR="00F400B4" w:rsidRPr="00C243CD">
        <w:rPr>
          <w:rFonts w:ascii="Cambria" w:hAnsi="Cambria"/>
          <w:lang w:val="en-GB"/>
        </w:rPr>
        <w:t>entities</w:t>
      </w:r>
      <w:r w:rsidRPr="00C243CD">
        <w:rPr>
          <w:rFonts w:ascii="Cambria" w:hAnsi="Cambria"/>
          <w:lang w:val="en-GB"/>
        </w:rPr>
        <w:t>, much in line with the provisions of article 28.1 (b) of the CRR, for which a delegated regulation has been adopted (No 241/2014, subsection 3)</w:t>
      </w:r>
      <w:r w:rsidR="00F17C2C" w:rsidRPr="00C243CD">
        <w:rPr>
          <w:rFonts w:ascii="Cambria" w:hAnsi="Cambria"/>
          <w:lang w:val="en-GB"/>
        </w:rPr>
        <w:t>, yet extended to all liabilities rather than own funds only</w:t>
      </w:r>
      <w:r w:rsidRPr="00C243CD">
        <w:rPr>
          <w:rFonts w:ascii="Cambria" w:hAnsi="Cambria"/>
          <w:lang w:val="en-GB"/>
        </w:rPr>
        <w:t>.</w:t>
      </w:r>
    </w:p>
    <w:p w14:paraId="582CB6A0" w14:textId="6E3A97A8" w:rsidR="002B5DBA" w:rsidRPr="00C243CD" w:rsidRDefault="001D45ED" w:rsidP="009474F1">
      <w:pPr>
        <w:pStyle w:val="Heading4"/>
        <w:rPr>
          <w:rFonts w:ascii="Cambria" w:hAnsi="Cambria"/>
          <w:lang w:val="en-GB"/>
        </w:rPr>
      </w:pPr>
      <w:r>
        <w:rPr>
          <w:rFonts w:ascii="Cambria" w:hAnsi="Cambria"/>
          <w:lang w:val="en-GB"/>
        </w:rPr>
        <w:lastRenderedPageBreak/>
        <w:t>c0</w:t>
      </w:r>
      <w:r w:rsidR="003E7184" w:rsidRPr="00C243CD">
        <w:rPr>
          <w:rFonts w:ascii="Cambria" w:hAnsi="Cambria"/>
          <w:lang w:val="en-GB"/>
        </w:rPr>
        <w:t>30</w:t>
      </w:r>
      <w:r w:rsidR="002B5DBA" w:rsidRPr="00C243CD">
        <w:rPr>
          <w:rFonts w:ascii="Cambria" w:hAnsi="Cambria"/>
          <w:lang w:val="en-GB"/>
        </w:rPr>
        <w:t>0 - Structured or other Non-Standard Terms</w:t>
      </w:r>
      <w:r w:rsidR="002B0BF8" w:rsidRPr="00C243CD">
        <w:rPr>
          <w:rStyle w:val="FootnoteReference"/>
          <w:rFonts w:ascii="Cambria" w:hAnsi="Cambria"/>
          <w:lang w:val="en-GB"/>
        </w:rPr>
        <w:footnoteReference w:id="14"/>
      </w:r>
      <w:r w:rsidR="005E419B">
        <w:rPr>
          <w:rFonts w:ascii="Cambria" w:hAnsi="Cambria"/>
          <w:lang w:val="en-GB"/>
        </w:rPr>
        <w:t xml:space="preserve"> </w:t>
      </w:r>
    </w:p>
    <w:p w14:paraId="4667084B" w14:textId="77777777" w:rsidR="00C51450" w:rsidRPr="00C243CD" w:rsidRDefault="00C51450" w:rsidP="00C51450">
      <w:pPr>
        <w:rPr>
          <w:rFonts w:ascii="Cambria" w:hAnsi="Cambria"/>
          <w:lang w:val="en-GB"/>
        </w:rPr>
      </w:pPr>
      <w:r w:rsidRPr="00C243CD">
        <w:rPr>
          <w:rFonts w:ascii="Cambria" w:hAnsi="Cambria"/>
          <w:lang w:val="en-GB"/>
        </w:rPr>
        <w:t>Please indicate if the instrument is to be considered as structured (cf. above) or contains specific non-standard terms, either ‘Non-structured/Vanilla’, ‘Structured’ or ‘Other non-standard terms’ from a predefined list.</w:t>
      </w:r>
    </w:p>
    <w:p w14:paraId="3DD0A2A9" w14:textId="083A532D" w:rsidR="006F048E" w:rsidRDefault="006F048E" w:rsidP="009474F1">
      <w:pPr>
        <w:pStyle w:val="Heading4"/>
        <w:rPr>
          <w:rFonts w:ascii="Cambria" w:hAnsi="Cambria"/>
          <w:lang w:val="en-GB"/>
        </w:rPr>
      </w:pPr>
      <w:r>
        <w:rPr>
          <w:rFonts w:ascii="Cambria" w:hAnsi="Cambria"/>
          <w:lang w:val="en-GB"/>
        </w:rPr>
        <w:t>c0305 – Amount meeting the conditions for MREL eligibility</w:t>
      </w:r>
    </w:p>
    <w:p w14:paraId="1E3FBA5B" w14:textId="77777777" w:rsidR="00274242" w:rsidRPr="006E2918" w:rsidRDefault="00274242" w:rsidP="00274242">
      <w:pPr>
        <w:rPr>
          <w:rFonts w:ascii="Cambria" w:hAnsi="Cambria"/>
          <w:lang w:val="en-GB"/>
        </w:rPr>
      </w:pPr>
      <w:commentRangeStart w:id="209"/>
      <w:r w:rsidRPr="006E2918">
        <w:rPr>
          <w:rFonts w:ascii="Cambria" w:hAnsi="Cambria"/>
          <w:lang w:val="en-GB"/>
        </w:rPr>
        <w:t>The outstanding amount of the MREL eligible liabilities calculated according to Article 45(4)(a) and (c) to (f) of the Directive 2014/59/EU. For this purpose, liabilities shall not be excluded from the calculation on the sole ground that they are issued to or held by a group entity.</w:t>
      </w:r>
      <w:commentRangeEnd w:id="209"/>
      <w:r w:rsidR="004A1962">
        <w:rPr>
          <w:rStyle w:val="CommentReference"/>
          <w:rFonts w:ascii="Cambria" w:eastAsia="MS Mincho" w:hAnsi="Cambria" w:cs="Times New Roman"/>
          <w:lang w:val="en-US"/>
        </w:rPr>
        <w:commentReference w:id="209"/>
      </w:r>
    </w:p>
    <w:p w14:paraId="79B5FBDC" w14:textId="3B98D0FA" w:rsidR="002B5DBA" w:rsidRPr="00C243CD" w:rsidRDefault="003E7184" w:rsidP="009474F1">
      <w:pPr>
        <w:pStyle w:val="Heading4"/>
        <w:rPr>
          <w:rFonts w:ascii="Cambria" w:hAnsi="Cambria"/>
          <w:lang w:val="en-GB"/>
        </w:rPr>
      </w:pPr>
      <w:r w:rsidRPr="00C243CD">
        <w:rPr>
          <w:rFonts w:ascii="Cambria" w:hAnsi="Cambria"/>
          <w:lang w:val="en-GB"/>
        </w:rPr>
        <w:t>c</w:t>
      </w:r>
      <w:r w:rsidR="001D45ED">
        <w:rPr>
          <w:rFonts w:ascii="Cambria" w:hAnsi="Cambria"/>
          <w:lang w:val="en-GB"/>
        </w:rPr>
        <w:t>0</w:t>
      </w:r>
      <w:r w:rsidRPr="00C243CD">
        <w:rPr>
          <w:rFonts w:ascii="Cambria" w:hAnsi="Cambria"/>
          <w:lang w:val="en-GB"/>
        </w:rPr>
        <w:t>31</w:t>
      </w:r>
      <w:r w:rsidR="002B5DBA" w:rsidRPr="00C243CD">
        <w:rPr>
          <w:rFonts w:ascii="Cambria" w:hAnsi="Cambria"/>
          <w:lang w:val="en-GB"/>
        </w:rPr>
        <w:t>0 - Qualifying as Own Funds</w:t>
      </w:r>
    </w:p>
    <w:p w14:paraId="736103AA" w14:textId="77777777" w:rsidR="00910B58" w:rsidRDefault="00FB02CE" w:rsidP="00FB02CE">
      <w:pPr>
        <w:rPr>
          <w:rFonts w:ascii="Cambria" w:hAnsi="Cambria"/>
          <w:lang w:val="en-GB"/>
        </w:rPr>
      </w:pPr>
      <w:r w:rsidRPr="00C243CD">
        <w:rPr>
          <w:rFonts w:ascii="Cambria" w:hAnsi="Cambria"/>
          <w:lang w:val="en-GB"/>
        </w:rPr>
        <w:t xml:space="preserve">Please indicate </w:t>
      </w:r>
      <w:r w:rsidR="00935A83" w:rsidRPr="00C243CD">
        <w:rPr>
          <w:rFonts w:ascii="Cambria" w:hAnsi="Cambria"/>
          <w:lang w:val="en-GB"/>
        </w:rPr>
        <w:t xml:space="preserve">if and </w:t>
      </w:r>
      <w:r w:rsidRPr="00C243CD">
        <w:rPr>
          <w:rFonts w:ascii="Cambria" w:hAnsi="Cambria"/>
          <w:lang w:val="en-GB"/>
        </w:rPr>
        <w:t xml:space="preserve">at which </w:t>
      </w:r>
      <w:r w:rsidR="00935A83" w:rsidRPr="00C243CD">
        <w:rPr>
          <w:rFonts w:ascii="Cambria" w:hAnsi="Cambria"/>
          <w:lang w:val="en-GB"/>
        </w:rPr>
        <w:t xml:space="preserve">level </w:t>
      </w:r>
      <w:r w:rsidRPr="00C243CD">
        <w:rPr>
          <w:rFonts w:ascii="Cambria" w:hAnsi="Cambria"/>
          <w:lang w:val="en-GB"/>
        </w:rPr>
        <w:t>the instrument is included in the own funds, alongside information on the phase-out regime and grandfathering arrangements. Value can be ‘No’,</w:t>
      </w:r>
      <w:r w:rsidR="00DC2AA2" w:rsidRPr="00C243CD">
        <w:rPr>
          <w:rFonts w:ascii="Cambria" w:hAnsi="Cambria"/>
          <w:lang w:val="en-GB"/>
        </w:rPr>
        <w:t xml:space="preserve"> ‘Partially (A)T1 and T2’,</w:t>
      </w:r>
      <w:r w:rsidRPr="00C243CD">
        <w:rPr>
          <w:rFonts w:ascii="Cambria" w:hAnsi="Cambria"/>
          <w:lang w:val="en-GB"/>
        </w:rPr>
        <w:t xml:space="preserve"> ‘T2 in phase-out’, ‘Grandfathered T2’, ‘Fully Compliant T2’, ‘Grandfathered AT1’, ‘Fully Compliant AT1’ or ‘CET1’ from a predefined list.</w:t>
      </w:r>
      <w:r w:rsidR="00910B58">
        <w:rPr>
          <w:rFonts w:ascii="Cambria" w:hAnsi="Cambria"/>
          <w:lang w:val="en-GB"/>
        </w:rPr>
        <w:t xml:space="preserve"> </w:t>
      </w:r>
    </w:p>
    <w:p w14:paraId="558C2639" w14:textId="6BD6941B" w:rsidR="00FB02CE" w:rsidRPr="00C243CD" w:rsidRDefault="00910B58" w:rsidP="00FB02CE">
      <w:pPr>
        <w:rPr>
          <w:rFonts w:ascii="Cambria" w:hAnsi="Cambria"/>
          <w:lang w:val="en-GB"/>
        </w:rPr>
      </w:pPr>
      <w:r>
        <w:rPr>
          <w:rFonts w:ascii="Cambria" w:hAnsi="Cambria"/>
          <w:lang w:val="en-GB"/>
        </w:rPr>
        <w:t>In the list of options t</w:t>
      </w:r>
      <w:r w:rsidRPr="00910B58">
        <w:rPr>
          <w:rFonts w:ascii="Cambria" w:hAnsi="Cambria"/>
          <w:lang w:val="en-GB"/>
        </w:rPr>
        <w:t>he term 'phase-out' refers to the period of 5 years before maturity of any given T2 instrument, during which there is only a proportionate recognition based on the time remaining until maturity. 'Grandfathered' should be understood as any transitional measure applicable to a T2 instrument, not including the 'phase-out'. During this 'grandfathering', recognition can be full or partial.</w:t>
      </w:r>
    </w:p>
    <w:p w14:paraId="7CA349EC" w14:textId="7D09DB5B" w:rsidR="002B5DBA" w:rsidRPr="00C243CD" w:rsidRDefault="001D45ED" w:rsidP="009474F1">
      <w:pPr>
        <w:pStyle w:val="Heading4"/>
        <w:rPr>
          <w:rFonts w:ascii="Cambria" w:hAnsi="Cambria"/>
          <w:lang w:val="en-GB"/>
        </w:rPr>
      </w:pPr>
      <w:r>
        <w:rPr>
          <w:rFonts w:ascii="Cambria" w:hAnsi="Cambria"/>
          <w:lang w:val="en-GB"/>
        </w:rPr>
        <w:t>c0</w:t>
      </w:r>
      <w:r w:rsidR="002B5DBA" w:rsidRPr="00C243CD">
        <w:rPr>
          <w:rFonts w:ascii="Cambria" w:hAnsi="Cambria"/>
          <w:lang w:val="en-GB"/>
        </w:rPr>
        <w:t>3</w:t>
      </w:r>
      <w:r w:rsidR="003E7184" w:rsidRPr="00C243CD">
        <w:rPr>
          <w:rFonts w:ascii="Cambria" w:hAnsi="Cambria"/>
          <w:lang w:val="en-GB"/>
        </w:rPr>
        <w:t>2</w:t>
      </w:r>
      <w:r w:rsidR="002B5DBA" w:rsidRPr="00C243CD">
        <w:rPr>
          <w:rFonts w:ascii="Cambria" w:hAnsi="Cambria"/>
          <w:lang w:val="en-GB"/>
        </w:rPr>
        <w:t>0 - Amount Included in Own Funds, taking into account phase-out as applicable</w:t>
      </w:r>
    </w:p>
    <w:p w14:paraId="1F57CE2F" w14:textId="77777777" w:rsidR="002B5DBA" w:rsidRPr="00C243CD" w:rsidRDefault="002B5DBA" w:rsidP="009474F1">
      <w:pPr>
        <w:rPr>
          <w:rFonts w:ascii="Cambria" w:hAnsi="Cambria"/>
          <w:lang w:val="en-GB"/>
        </w:rPr>
      </w:pPr>
      <w:r w:rsidRPr="00C243CD">
        <w:rPr>
          <w:rFonts w:ascii="Cambria" w:hAnsi="Cambria"/>
          <w:lang w:val="en-GB"/>
        </w:rPr>
        <w:t>The actual amount in EUR of the instrument qualifying as own funds.</w:t>
      </w:r>
    </w:p>
    <w:p w14:paraId="068DA6D6" w14:textId="2E47AAB1" w:rsidR="00493B32" w:rsidRDefault="00493B32">
      <w:pPr>
        <w:spacing w:after="160" w:line="259" w:lineRule="auto"/>
        <w:jc w:val="left"/>
        <w:rPr>
          <w:rFonts w:ascii="Cambria" w:hAnsi="Cambria"/>
          <w:lang w:val="en-GB"/>
        </w:rPr>
      </w:pPr>
    </w:p>
    <w:p w14:paraId="0E6C067F" w14:textId="77777777" w:rsidR="001D45ED" w:rsidRPr="00C243CD" w:rsidRDefault="001D45ED">
      <w:pPr>
        <w:spacing w:after="160" w:line="259" w:lineRule="auto"/>
        <w:jc w:val="left"/>
        <w:rPr>
          <w:rFonts w:ascii="Cambria" w:hAnsi="Cambria"/>
          <w:lang w:val="en-GB"/>
        </w:rPr>
        <w:sectPr w:rsidR="001D45ED" w:rsidRPr="00C243CD" w:rsidSect="00AC044E">
          <w:pgSz w:w="11906" w:h="16838"/>
          <w:pgMar w:top="2552" w:right="1440" w:bottom="1440" w:left="1440" w:header="708" w:footer="708" w:gutter="0"/>
          <w:cols w:space="708"/>
          <w:titlePg/>
          <w:docGrid w:linePitch="360"/>
        </w:sectPr>
      </w:pPr>
    </w:p>
    <w:p w14:paraId="03461758" w14:textId="5E0A3768" w:rsidR="0098031C" w:rsidRPr="00C243CD" w:rsidRDefault="00B25894">
      <w:pPr>
        <w:spacing w:after="160" w:line="259" w:lineRule="auto"/>
        <w:jc w:val="left"/>
        <w:rPr>
          <w:rFonts w:ascii="Cambria" w:hAnsi="Cambria"/>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52" behindDoc="0" locked="0" layoutInCell="1" allowOverlap="1" wp14:anchorId="251396D6" wp14:editId="48FC6F91">
                <wp:simplePos x="0" y="0"/>
                <wp:positionH relativeFrom="page">
                  <wp:align>center</wp:align>
                </wp:positionH>
                <wp:positionV relativeFrom="paragraph">
                  <wp:posOffset>1677201</wp:posOffset>
                </wp:positionV>
                <wp:extent cx="9764202" cy="5959475"/>
                <wp:effectExtent l="0" t="0" r="27940" b="10795"/>
                <wp:wrapNone/>
                <wp:docPr id="36" name="Text Box 36"/>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B34165" w14:textId="77777777" w:rsidR="002D45CF" w:rsidRPr="006550F9" w:rsidRDefault="002D45CF" w:rsidP="0098031C">
                            <w:pPr>
                              <w:rPr>
                                <w:b/>
                                <w:lang w:val="en-GB"/>
                              </w:rPr>
                            </w:pPr>
                            <w:r>
                              <w:rPr>
                                <w:b/>
                                <w:lang w:val="en-GB"/>
                              </w:rPr>
                              <w:t>Simplified e</w:t>
                            </w:r>
                            <w:r w:rsidRPr="006550F9">
                              <w:rPr>
                                <w:b/>
                                <w:lang w:val="en-GB"/>
                              </w:rPr>
                              <w:t>xample</w:t>
                            </w:r>
                          </w:p>
                          <w:p w14:paraId="2EE07F4F" w14:textId="77777777" w:rsidR="002D45CF" w:rsidRPr="006550F9" w:rsidRDefault="002D45CF" w:rsidP="0098031C">
                            <w:pPr>
                              <w:rPr>
                                <w:lang w:val="en-GB"/>
                              </w:rPr>
                            </w:pPr>
                          </w:p>
                          <w:p w14:paraId="7580B557" w14:textId="77777777" w:rsidR="002D45CF" w:rsidRPr="0098031C" w:rsidRDefault="002D45CF" w:rsidP="0098031C">
                            <w:pPr>
                              <w:rPr>
                                <w:szCs w:val="20"/>
                                <w:lang w:val="en-GB"/>
                              </w:rPr>
                            </w:pPr>
                            <w:r w:rsidRPr="0098031C">
                              <w:rPr>
                                <w:szCs w:val="20"/>
                                <w:lang w:val="en-GB"/>
                              </w:rPr>
                              <w:t>The reporting institution has issued a covered bond on the market with following details:</w:t>
                            </w:r>
                          </w:p>
                          <w:p w14:paraId="65B9BAEC" w14:textId="77777777" w:rsidR="002D45CF" w:rsidRDefault="002D45CF" w:rsidP="006550F9">
                            <w:pPr>
                              <w:pStyle w:val="ListParagraph"/>
                              <w:numPr>
                                <w:ilvl w:val="0"/>
                                <w:numId w:val="31"/>
                              </w:numPr>
                              <w:rPr>
                                <w:szCs w:val="20"/>
                                <w:lang w:val="en-GB"/>
                              </w:rPr>
                            </w:pPr>
                            <w:r>
                              <w:rPr>
                                <w:rFonts w:ascii="Verdana" w:hAnsi="Verdana"/>
                                <w:sz w:val="20"/>
                                <w:szCs w:val="20"/>
                                <w:lang w:val="en-GB"/>
                              </w:rPr>
                              <w:t>The ISIN code of the instrument is ES0123456789 and it is traded on BME and Euronext. As such, the individual creditors cannot be identified.</w:t>
                            </w:r>
                          </w:p>
                          <w:p w14:paraId="2144D45E" w14:textId="2C6038A5" w:rsidR="002D45CF" w:rsidRDefault="002D45CF" w:rsidP="006550F9">
                            <w:pPr>
                              <w:pStyle w:val="ListParagraph"/>
                              <w:numPr>
                                <w:ilvl w:val="0"/>
                                <w:numId w:val="31"/>
                              </w:numPr>
                              <w:rPr>
                                <w:szCs w:val="20"/>
                                <w:lang w:val="en-GB"/>
                              </w:rPr>
                            </w:pPr>
                            <w:r>
                              <w:rPr>
                                <w:rFonts w:ascii="Verdana" w:hAnsi="Verdana"/>
                                <w:sz w:val="20"/>
                                <w:szCs w:val="20"/>
                                <w:lang w:val="en-GB"/>
                              </w:rPr>
                              <w:t>The original amount issued on 1 November 2017 in a public placement was EUR 10 billion, but the institution has effected a buy-back of EUR 2 billion worth of the covered bonds. The coupon is a floating interest rate, annually payable and standing at 2.5% as at the reporting date.</w:t>
                            </w:r>
                          </w:p>
                          <w:p w14:paraId="6893CB73" w14:textId="1662EE17" w:rsidR="002D45CF" w:rsidRDefault="002D45CF" w:rsidP="006550F9">
                            <w:pPr>
                              <w:pStyle w:val="ListParagraph"/>
                              <w:numPr>
                                <w:ilvl w:val="0"/>
                                <w:numId w:val="31"/>
                              </w:numPr>
                              <w:rPr>
                                <w:szCs w:val="20"/>
                                <w:lang w:val="en-GB"/>
                              </w:rPr>
                            </w:pPr>
                            <w:r>
                              <w:rPr>
                                <w:rFonts w:ascii="Verdana" w:hAnsi="Verdana"/>
                                <w:sz w:val="20"/>
                                <w:szCs w:val="20"/>
                                <w:lang w:val="en-GB"/>
                              </w:rPr>
                              <w:t>The legal maturity is fixed at 31 October 2026, with no early reimbursement rights for the holders of the instrument.</w:t>
                            </w:r>
                          </w:p>
                          <w:p w14:paraId="08F0E88D" w14:textId="77777777" w:rsidR="002D45CF" w:rsidRDefault="002D45CF" w:rsidP="006550F9">
                            <w:pPr>
                              <w:pStyle w:val="ListParagraph"/>
                              <w:numPr>
                                <w:ilvl w:val="0"/>
                                <w:numId w:val="31"/>
                              </w:numPr>
                              <w:rPr>
                                <w:szCs w:val="20"/>
                                <w:lang w:val="en-GB"/>
                              </w:rPr>
                            </w:pPr>
                            <w:r>
                              <w:rPr>
                                <w:rFonts w:ascii="Verdana" w:hAnsi="Verdana"/>
                                <w:sz w:val="20"/>
                                <w:szCs w:val="20"/>
                                <w:lang w:val="en-GB"/>
                              </w:rPr>
                              <w:t>Paying agent and trustee can be identified by an LEI code. The settlement system and registrar holder is Clearstream International, while the central securities depository is Euroclear Bank.</w:t>
                            </w:r>
                          </w:p>
                          <w:p w14:paraId="1D1620AC" w14:textId="77777777" w:rsidR="002D45CF" w:rsidRDefault="002D45CF" w:rsidP="006550F9">
                            <w:pPr>
                              <w:pStyle w:val="ListParagraph"/>
                              <w:numPr>
                                <w:ilvl w:val="0"/>
                                <w:numId w:val="31"/>
                              </w:numPr>
                              <w:rPr>
                                <w:szCs w:val="20"/>
                                <w:lang w:val="en-GB"/>
                              </w:rPr>
                            </w:pPr>
                            <w:r>
                              <w:rPr>
                                <w:rFonts w:ascii="Verdana" w:hAnsi="Verdana"/>
                                <w:sz w:val="20"/>
                                <w:szCs w:val="20"/>
                                <w:lang w:val="en-GB"/>
                              </w:rPr>
                              <w:t>The covered bond is secured by a collateral pool of EUR 8.5 billion mortgage loans and a supplementary guarantee is granted by the parent entity, which is identifiable by its LEI code.</w:t>
                            </w:r>
                          </w:p>
                          <w:p w14:paraId="74F029D8" w14:textId="77777777" w:rsidR="002D45CF" w:rsidRPr="006550F9" w:rsidRDefault="002D45CF" w:rsidP="006550F9">
                            <w:pPr>
                              <w:pStyle w:val="ListParagraph"/>
                              <w:numPr>
                                <w:ilvl w:val="0"/>
                                <w:numId w:val="31"/>
                              </w:numPr>
                              <w:rPr>
                                <w:szCs w:val="20"/>
                                <w:lang w:val="en-GB"/>
                              </w:rPr>
                            </w:pPr>
                            <w:r w:rsidRPr="006550F9">
                              <w:rPr>
                                <w:rFonts w:ascii="Verdana" w:hAnsi="Verdana"/>
                                <w:sz w:val="20"/>
                                <w:szCs w:val="20"/>
                                <w:lang w:val="en-GB"/>
                              </w:rPr>
                              <w:t xml:space="preserve">The applicable law of the </w:t>
                            </w:r>
                            <w:r>
                              <w:rPr>
                                <w:rFonts w:ascii="Verdana" w:hAnsi="Verdana"/>
                                <w:sz w:val="20"/>
                                <w:szCs w:val="20"/>
                                <w:lang w:val="en-GB"/>
                              </w:rPr>
                              <w:t xml:space="preserve">bond </w:t>
                            </w:r>
                            <w:r w:rsidRPr="006550F9">
                              <w:rPr>
                                <w:rFonts w:ascii="Verdana" w:hAnsi="Verdana"/>
                                <w:sz w:val="20"/>
                                <w:szCs w:val="20"/>
                                <w:lang w:val="en-GB"/>
                              </w:rPr>
                              <w:t xml:space="preserve">is the one of </w:t>
                            </w:r>
                            <w:r>
                              <w:rPr>
                                <w:rFonts w:ascii="Verdana" w:hAnsi="Verdana"/>
                                <w:sz w:val="20"/>
                                <w:szCs w:val="20"/>
                                <w:lang w:val="en-GB"/>
                              </w:rPr>
                              <w:t>Spain</w:t>
                            </w:r>
                            <w:r w:rsidRPr="006550F9">
                              <w:rPr>
                                <w:rFonts w:ascii="Verdana" w:hAnsi="Verdana"/>
                                <w:sz w:val="20"/>
                                <w:szCs w:val="20"/>
                                <w:lang w:val="en-GB"/>
                              </w:rPr>
                              <w:t xml:space="preserve">. The insolvency ranking of the </w:t>
                            </w:r>
                            <w:r>
                              <w:rPr>
                                <w:rFonts w:ascii="Verdana" w:hAnsi="Verdana"/>
                                <w:sz w:val="20"/>
                                <w:szCs w:val="20"/>
                                <w:lang w:val="en-GB"/>
                              </w:rPr>
                              <w:t xml:space="preserve">bond </w:t>
                            </w:r>
                            <w:r w:rsidRPr="006550F9">
                              <w:rPr>
                                <w:rFonts w:ascii="Verdana" w:hAnsi="Verdana"/>
                                <w:sz w:val="20"/>
                                <w:szCs w:val="20"/>
                                <w:lang w:val="en-GB"/>
                              </w:rPr>
                              <w:t xml:space="preserve">under the law of the country where the reporting institution is incorporated is equal to </w:t>
                            </w:r>
                            <w:r>
                              <w:rPr>
                                <w:rFonts w:ascii="Verdana" w:hAnsi="Verdana"/>
                                <w:sz w:val="20"/>
                                <w:szCs w:val="20"/>
                                <w:lang w:val="en-GB"/>
                              </w:rPr>
                              <w:t>11</w:t>
                            </w:r>
                            <w:r w:rsidRPr="006550F9">
                              <w:rPr>
                                <w:rFonts w:ascii="Verdana" w:hAnsi="Verdana"/>
                                <w:sz w:val="20"/>
                                <w:szCs w:val="20"/>
                                <w:lang w:val="en-GB"/>
                              </w:rPr>
                              <w:t>.</w:t>
                            </w:r>
                          </w:p>
                          <w:p w14:paraId="3C82289F" w14:textId="77777777" w:rsidR="002D45CF" w:rsidRPr="006550F9" w:rsidRDefault="002D45CF" w:rsidP="0098031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1396D6" id="Text Box 36" o:spid="_x0000_s1030" type="#_x0000_t202" style="position:absolute;margin-left:0;margin-top:132.05pt;width:768.85pt;height:469.25pt;z-index:2516582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" fillcolor="white [3201]" strokeweight=".5pt">
                <v:textbox style="mso-fit-shape-to-text:t">
                  <w:txbxContent>
                    <w:p w14:paraId="23B34165" w14:textId="77777777" w:rsidR="002D45CF" w:rsidRPr="006550F9" w:rsidRDefault="002D45CF" w:rsidP="0098031C">
                      <w:pPr>
                        <w:rPr>
                          <w:b/>
                          <w:lang w:val="en-GB"/>
                        </w:rPr>
                      </w:pPr>
                      <w:r>
                        <w:rPr>
                          <w:b/>
                          <w:lang w:val="en-GB"/>
                        </w:rPr>
                        <w:t>Simplified e</w:t>
                      </w:r>
                      <w:r w:rsidRPr="006550F9">
                        <w:rPr>
                          <w:b/>
                          <w:lang w:val="en-GB"/>
                        </w:rPr>
                        <w:t>xample</w:t>
                      </w:r>
                    </w:p>
                    <w:p w14:paraId="2EE07F4F" w14:textId="77777777" w:rsidR="002D45CF" w:rsidRPr="006550F9" w:rsidRDefault="002D45CF" w:rsidP="0098031C">
                      <w:pPr>
                        <w:rPr>
                          <w:lang w:val="en-GB"/>
                        </w:rPr>
                      </w:pPr>
                    </w:p>
                    <w:p w14:paraId="7580B557" w14:textId="77777777" w:rsidR="002D45CF" w:rsidRPr="0098031C" w:rsidRDefault="002D45CF" w:rsidP="0098031C">
                      <w:pPr>
                        <w:rPr>
                          <w:szCs w:val="20"/>
                          <w:lang w:val="en-GB"/>
                        </w:rPr>
                      </w:pPr>
                      <w:r w:rsidRPr="0098031C">
                        <w:rPr>
                          <w:szCs w:val="20"/>
                          <w:lang w:val="en-GB"/>
                        </w:rPr>
                        <w:t>The reporting institution has issued a covered bond on the market with following details:</w:t>
                      </w:r>
                    </w:p>
                    <w:p w14:paraId="65B9BAEC" w14:textId="77777777" w:rsidR="002D45CF" w:rsidRDefault="002D45CF" w:rsidP="006550F9">
                      <w:pPr>
                        <w:pStyle w:val="ListParagraph"/>
                        <w:numPr>
                          <w:ilvl w:val="0"/>
                          <w:numId w:val="31"/>
                        </w:numPr>
                        <w:rPr>
                          <w:szCs w:val="20"/>
                          <w:lang w:val="en-GB"/>
                        </w:rPr>
                      </w:pPr>
                      <w:r>
                        <w:rPr>
                          <w:rFonts w:ascii="Verdana" w:hAnsi="Verdana"/>
                          <w:sz w:val="20"/>
                          <w:szCs w:val="20"/>
                          <w:lang w:val="en-GB"/>
                        </w:rPr>
                        <w:t>The ISIN code of the instrument is ES0123456789 and it is traded on BME and Euronext. As such, the individual creditors cannot be identified.</w:t>
                      </w:r>
                    </w:p>
                    <w:p w14:paraId="2144D45E" w14:textId="2C6038A5" w:rsidR="002D45CF" w:rsidRDefault="002D45CF" w:rsidP="006550F9">
                      <w:pPr>
                        <w:pStyle w:val="ListParagraph"/>
                        <w:numPr>
                          <w:ilvl w:val="0"/>
                          <w:numId w:val="31"/>
                        </w:numPr>
                        <w:rPr>
                          <w:szCs w:val="20"/>
                          <w:lang w:val="en-GB"/>
                        </w:rPr>
                      </w:pPr>
                      <w:r>
                        <w:rPr>
                          <w:rFonts w:ascii="Verdana" w:hAnsi="Verdana"/>
                          <w:sz w:val="20"/>
                          <w:szCs w:val="20"/>
                          <w:lang w:val="en-GB"/>
                        </w:rPr>
                        <w:t>The original amount issued on 1 November 2017 in a public placement was EUR 10 billion, but the institution has effected a buy-back of EUR 2 billion worth of the covered bonds. The coupon is a floating interest rate, annually payable and standing at 2.5% as at the reporting date.</w:t>
                      </w:r>
                    </w:p>
                    <w:p w14:paraId="6893CB73" w14:textId="1662EE17" w:rsidR="002D45CF" w:rsidRDefault="002D45CF" w:rsidP="006550F9">
                      <w:pPr>
                        <w:pStyle w:val="ListParagraph"/>
                        <w:numPr>
                          <w:ilvl w:val="0"/>
                          <w:numId w:val="31"/>
                        </w:numPr>
                        <w:rPr>
                          <w:szCs w:val="20"/>
                          <w:lang w:val="en-GB"/>
                        </w:rPr>
                      </w:pPr>
                      <w:r>
                        <w:rPr>
                          <w:rFonts w:ascii="Verdana" w:hAnsi="Verdana"/>
                          <w:sz w:val="20"/>
                          <w:szCs w:val="20"/>
                          <w:lang w:val="en-GB"/>
                        </w:rPr>
                        <w:t>The legal maturity is fixed at 31 October 2026, with no early reimbursement rights for the holders of the instrument.</w:t>
                      </w:r>
                    </w:p>
                    <w:p w14:paraId="08F0E88D" w14:textId="77777777" w:rsidR="002D45CF" w:rsidRDefault="002D45CF" w:rsidP="006550F9">
                      <w:pPr>
                        <w:pStyle w:val="ListParagraph"/>
                        <w:numPr>
                          <w:ilvl w:val="0"/>
                          <w:numId w:val="31"/>
                        </w:numPr>
                        <w:rPr>
                          <w:szCs w:val="20"/>
                          <w:lang w:val="en-GB"/>
                        </w:rPr>
                      </w:pPr>
                      <w:r>
                        <w:rPr>
                          <w:rFonts w:ascii="Verdana" w:hAnsi="Verdana"/>
                          <w:sz w:val="20"/>
                          <w:szCs w:val="20"/>
                          <w:lang w:val="en-GB"/>
                        </w:rPr>
                        <w:t>Paying agent and trustee can be identified by an LEI code. The settlement system and registrar holder is Clearstream International, while the central securities depository is Euroclear Bank.</w:t>
                      </w:r>
                    </w:p>
                    <w:p w14:paraId="1D1620AC" w14:textId="77777777" w:rsidR="002D45CF" w:rsidRDefault="002D45CF" w:rsidP="006550F9">
                      <w:pPr>
                        <w:pStyle w:val="ListParagraph"/>
                        <w:numPr>
                          <w:ilvl w:val="0"/>
                          <w:numId w:val="31"/>
                        </w:numPr>
                        <w:rPr>
                          <w:szCs w:val="20"/>
                          <w:lang w:val="en-GB"/>
                        </w:rPr>
                      </w:pPr>
                      <w:r>
                        <w:rPr>
                          <w:rFonts w:ascii="Verdana" w:hAnsi="Verdana"/>
                          <w:sz w:val="20"/>
                          <w:szCs w:val="20"/>
                          <w:lang w:val="en-GB"/>
                        </w:rPr>
                        <w:t>The covered bond is secured by a collateral pool of EUR 8.5 billion mortgage loans and a supplementary guarantee is granted by the parent entity, which is identifiable by its LEI code.</w:t>
                      </w:r>
                    </w:p>
                    <w:p w14:paraId="74F029D8" w14:textId="77777777" w:rsidR="002D45CF" w:rsidRPr="006550F9" w:rsidRDefault="002D45CF" w:rsidP="006550F9">
                      <w:pPr>
                        <w:pStyle w:val="ListParagraph"/>
                        <w:numPr>
                          <w:ilvl w:val="0"/>
                          <w:numId w:val="31"/>
                        </w:numPr>
                        <w:rPr>
                          <w:szCs w:val="20"/>
                          <w:lang w:val="en-GB"/>
                        </w:rPr>
                      </w:pPr>
                      <w:r w:rsidRPr="006550F9">
                        <w:rPr>
                          <w:rFonts w:ascii="Verdana" w:hAnsi="Verdana"/>
                          <w:sz w:val="20"/>
                          <w:szCs w:val="20"/>
                          <w:lang w:val="en-GB"/>
                        </w:rPr>
                        <w:t xml:space="preserve">The applicable law of the </w:t>
                      </w:r>
                      <w:r>
                        <w:rPr>
                          <w:rFonts w:ascii="Verdana" w:hAnsi="Verdana"/>
                          <w:sz w:val="20"/>
                          <w:szCs w:val="20"/>
                          <w:lang w:val="en-GB"/>
                        </w:rPr>
                        <w:t xml:space="preserve">bond </w:t>
                      </w:r>
                      <w:r w:rsidRPr="006550F9">
                        <w:rPr>
                          <w:rFonts w:ascii="Verdana" w:hAnsi="Verdana"/>
                          <w:sz w:val="20"/>
                          <w:szCs w:val="20"/>
                          <w:lang w:val="en-GB"/>
                        </w:rPr>
                        <w:t xml:space="preserve">is the one of </w:t>
                      </w:r>
                      <w:r>
                        <w:rPr>
                          <w:rFonts w:ascii="Verdana" w:hAnsi="Verdana"/>
                          <w:sz w:val="20"/>
                          <w:szCs w:val="20"/>
                          <w:lang w:val="en-GB"/>
                        </w:rPr>
                        <w:t>Spain</w:t>
                      </w:r>
                      <w:r w:rsidRPr="006550F9">
                        <w:rPr>
                          <w:rFonts w:ascii="Verdana" w:hAnsi="Verdana"/>
                          <w:sz w:val="20"/>
                          <w:szCs w:val="20"/>
                          <w:lang w:val="en-GB"/>
                        </w:rPr>
                        <w:t xml:space="preserve">. The insolvency ranking of the </w:t>
                      </w:r>
                      <w:r>
                        <w:rPr>
                          <w:rFonts w:ascii="Verdana" w:hAnsi="Verdana"/>
                          <w:sz w:val="20"/>
                          <w:szCs w:val="20"/>
                          <w:lang w:val="en-GB"/>
                        </w:rPr>
                        <w:t xml:space="preserve">bond </w:t>
                      </w:r>
                      <w:r w:rsidRPr="006550F9">
                        <w:rPr>
                          <w:rFonts w:ascii="Verdana" w:hAnsi="Verdana"/>
                          <w:sz w:val="20"/>
                          <w:szCs w:val="20"/>
                          <w:lang w:val="en-GB"/>
                        </w:rPr>
                        <w:t xml:space="preserve">under the law of the country where the reporting institution is incorporated is equal to </w:t>
                      </w:r>
                      <w:r>
                        <w:rPr>
                          <w:rFonts w:ascii="Verdana" w:hAnsi="Verdana"/>
                          <w:sz w:val="20"/>
                          <w:szCs w:val="20"/>
                          <w:lang w:val="en-GB"/>
                        </w:rPr>
                        <w:t>11</w:t>
                      </w:r>
                      <w:r w:rsidRPr="006550F9">
                        <w:rPr>
                          <w:rFonts w:ascii="Verdana" w:hAnsi="Verdana"/>
                          <w:sz w:val="20"/>
                          <w:szCs w:val="20"/>
                          <w:lang w:val="en-GB"/>
                        </w:rPr>
                        <w:t>.</w:t>
                      </w:r>
                    </w:p>
                    <w:p w14:paraId="3C82289F" w14:textId="77777777" w:rsidR="002D45CF" w:rsidRPr="006550F9" w:rsidRDefault="002D45CF" w:rsidP="0098031C">
                      <w:pPr>
                        <w:rPr>
                          <w:lang w:val="en-GB"/>
                        </w:rPr>
                      </w:pPr>
                    </w:p>
                  </w:txbxContent>
                </v:textbox>
                <w10:wrap anchorx="page"/>
              </v:shape>
            </w:pict>
          </mc:Fallback>
        </mc:AlternateContent>
      </w:r>
      <w:r w:rsidR="0098031C" w:rsidRPr="00C243CD">
        <w:rPr>
          <w:rFonts w:ascii="Cambria" w:hAnsi="Cambria"/>
          <w:lang w:val="en-GB"/>
        </w:rPr>
        <w:br w:type="page"/>
      </w:r>
    </w:p>
    <w:p w14:paraId="32FA35E7" w14:textId="77777777" w:rsidR="00C8142A" w:rsidRPr="00C243CD" w:rsidRDefault="00493B32">
      <w:pPr>
        <w:spacing w:after="160" w:line="259" w:lineRule="auto"/>
        <w:jc w:val="left"/>
        <w:rPr>
          <w:rFonts w:ascii="Cambria" w:eastAsiaTheme="majorEastAsia" w:hAnsi="Cambria" w:cstheme="majorBidi"/>
          <w:sz w:val="24"/>
          <w:szCs w:val="24"/>
          <w:u w:val="single"/>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44" behindDoc="0" locked="0" layoutInCell="1" allowOverlap="1" wp14:anchorId="1BCC8BFC" wp14:editId="1122FB1F">
                <wp:simplePos x="0" y="0"/>
                <wp:positionH relativeFrom="page">
                  <wp:align>center</wp:align>
                </wp:positionH>
                <wp:positionV relativeFrom="paragraph">
                  <wp:posOffset>576470</wp:posOffset>
                </wp:positionV>
                <wp:extent cx="9764202" cy="595947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201822" w14:textId="77777777" w:rsidR="002D45CF" w:rsidRDefault="002D45CF" w:rsidP="00A10180">
                            <w:pPr>
                              <w:rPr>
                                <w:lang w:val="en-GB"/>
                              </w:rPr>
                            </w:pPr>
                          </w:p>
                          <w:p w14:paraId="564AA88B" w14:textId="188A882C" w:rsidR="002D45CF" w:rsidRDefault="002D45CF" w:rsidP="00A10180">
                            <w:pPr>
                              <w:rPr>
                                <w:lang w:val="en-GB"/>
                              </w:rPr>
                            </w:pPr>
                            <w:r>
                              <w:rPr>
                                <w:lang w:val="en-GB"/>
                              </w:rPr>
                              <w:t>As at 31 December 2019, the entity should report this Tier 2 instrument as follows:</w:t>
                            </w:r>
                          </w:p>
                          <w:p w14:paraId="0930AE52" w14:textId="77777777" w:rsidR="002D45CF" w:rsidRDefault="002D45CF" w:rsidP="00A10180">
                            <w:pPr>
                              <w:rPr>
                                <w:lang w:val="en-GB"/>
                              </w:rPr>
                            </w:pPr>
                          </w:p>
                          <w:p w14:paraId="006016C1" w14:textId="36B4B1B5" w:rsidR="002D45CF" w:rsidRDefault="009A373B" w:rsidP="00A10180">
                            <w:pPr>
                              <w:rPr>
                                <w:lang w:val="en-GB"/>
                              </w:rPr>
                            </w:pPr>
                            <w:r w:rsidRPr="009A373B">
                              <w:drawing>
                                <wp:inline distT="0" distB="0" distL="0" distR="0" wp14:anchorId="0E868491" wp14:editId="11C9CF8F">
                                  <wp:extent cx="9574530" cy="1510029"/>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74530" cy="1510029"/>
                                          </a:xfrm>
                                          <a:prstGeom prst="rect">
                                            <a:avLst/>
                                          </a:prstGeom>
                                          <a:noFill/>
                                          <a:ln>
                                            <a:noFill/>
                                          </a:ln>
                                        </pic:spPr>
                                      </pic:pic>
                                    </a:graphicData>
                                  </a:graphic>
                                </wp:inline>
                              </w:drawing>
                            </w:r>
                          </w:p>
                          <w:p w14:paraId="0497246A" w14:textId="77777777" w:rsidR="002D45CF" w:rsidRDefault="002D45CF" w:rsidP="00A10180">
                            <w:pPr>
                              <w:rPr>
                                <w:lang w:val="en-GB"/>
                              </w:rPr>
                            </w:pPr>
                          </w:p>
                          <w:p w14:paraId="1DFB1548" w14:textId="5F07E6C8" w:rsidR="002D45CF" w:rsidRPr="006550F9" w:rsidRDefault="007E3EA5" w:rsidP="00A10180">
                            <w:pPr>
                              <w:rPr>
                                <w:lang w:val="en-GB"/>
                              </w:rPr>
                            </w:pPr>
                            <w:r w:rsidRPr="007E3EA5">
                              <w:drawing>
                                <wp:inline distT="0" distB="0" distL="0" distR="0" wp14:anchorId="4D2D6451" wp14:editId="10CE6925">
                                  <wp:extent cx="9589133" cy="173326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615705" cy="17380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CC8BFC" id="Text Box 22" o:spid="_x0000_s1031" type="#_x0000_t202" style="position:absolute;margin-left:0;margin-top:45.4pt;width:768.85pt;height:469.25pt;z-index:2516582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" fillcolor="white [3201]" strokeweight=".5pt">
                <v:textbox style="mso-fit-shape-to-text:t">
                  <w:txbxContent>
                    <w:p w14:paraId="5C201822" w14:textId="77777777" w:rsidR="002D45CF" w:rsidRDefault="002D45CF" w:rsidP="00A10180">
                      <w:pPr>
                        <w:rPr>
                          <w:lang w:val="en-GB"/>
                        </w:rPr>
                      </w:pPr>
                    </w:p>
                    <w:p w14:paraId="564AA88B" w14:textId="188A882C" w:rsidR="002D45CF" w:rsidRDefault="002D45CF" w:rsidP="00A10180">
                      <w:pPr>
                        <w:rPr>
                          <w:lang w:val="en-GB"/>
                        </w:rPr>
                      </w:pPr>
                      <w:r>
                        <w:rPr>
                          <w:lang w:val="en-GB"/>
                        </w:rPr>
                        <w:t>As at 31 December 2019, the entity should report this Tier 2 instrument as follows:</w:t>
                      </w:r>
                    </w:p>
                    <w:p w14:paraId="0930AE52" w14:textId="77777777" w:rsidR="002D45CF" w:rsidRDefault="002D45CF" w:rsidP="00A10180">
                      <w:pPr>
                        <w:rPr>
                          <w:lang w:val="en-GB"/>
                        </w:rPr>
                      </w:pPr>
                    </w:p>
                    <w:p w14:paraId="006016C1" w14:textId="36B4B1B5" w:rsidR="002D45CF" w:rsidRDefault="009A373B" w:rsidP="00A10180">
                      <w:pPr>
                        <w:rPr>
                          <w:lang w:val="en-GB"/>
                        </w:rPr>
                      </w:pPr>
                      <w:r w:rsidRPr="009A373B">
                        <w:drawing>
                          <wp:inline distT="0" distB="0" distL="0" distR="0" wp14:anchorId="0E868491" wp14:editId="11C9CF8F">
                            <wp:extent cx="9574530" cy="1510029"/>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74530" cy="1510029"/>
                                    </a:xfrm>
                                    <a:prstGeom prst="rect">
                                      <a:avLst/>
                                    </a:prstGeom>
                                    <a:noFill/>
                                    <a:ln>
                                      <a:noFill/>
                                    </a:ln>
                                  </pic:spPr>
                                </pic:pic>
                              </a:graphicData>
                            </a:graphic>
                          </wp:inline>
                        </w:drawing>
                      </w:r>
                    </w:p>
                    <w:p w14:paraId="0497246A" w14:textId="77777777" w:rsidR="002D45CF" w:rsidRDefault="002D45CF" w:rsidP="00A10180">
                      <w:pPr>
                        <w:rPr>
                          <w:lang w:val="en-GB"/>
                        </w:rPr>
                      </w:pPr>
                    </w:p>
                    <w:p w14:paraId="1DFB1548" w14:textId="5F07E6C8" w:rsidR="002D45CF" w:rsidRPr="006550F9" w:rsidRDefault="007E3EA5" w:rsidP="00A10180">
                      <w:pPr>
                        <w:rPr>
                          <w:lang w:val="en-GB"/>
                        </w:rPr>
                      </w:pPr>
                      <w:r w:rsidRPr="007E3EA5">
                        <w:drawing>
                          <wp:inline distT="0" distB="0" distL="0" distR="0" wp14:anchorId="4D2D6451" wp14:editId="10CE6925">
                            <wp:extent cx="9589133" cy="173326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615705" cy="1738068"/>
                                    </a:xfrm>
                                    <a:prstGeom prst="rect">
                                      <a:avLst/>
                                    </a:prstGeom>
                                    <a:noFill/>
                                    <a:ln>
                                      <a:noFill/>
                                    </a:ln>
                                  </pic:spPr>
                                </pic:pic>
                              </a:graphicData>
                            </a:graphic>
                          </wp:inline>
                        </w:drawing>
                      </w:r>
                    </w:p>
                  </w:txbxContent>
                </v:textbox>
                <w10:wrap anchorx="page"/>
              </v:shape>
            </w:pict>
          </mc:Fallback>
        </mc:AlternateContent>
      </w:r>
      <w:r w:rsidR="00C8142A" w:rsidRPr="00C243CD">
        <w:rPr>
          <w:rFonts w:ascii="Cambria" w:hAnsi="Cambria"/>
          <w:lang w:val="en-GB"/>
        </w:rPr>
        <w:br w:type="page"/>
      </w:r>
    </w:p>
    <w:p w14:paraId="43F2BBD5" w14:textId="77777777" w:rsidR="00493B32" w:rsidRPr="00C243CD" w:rsidRDefault="00493B32" w:rsidP="00B27610">
      <w:pPr>
        <w:pStyle w:val="Heading3"/>
        <w:numPr>
          <w:ilvl w:val="0"/>
          <w:numId w:val="22"/>
        </w:numPr>
        <w:ind w:left="426" w:hanging="426"/>
        <w:rPr>
          <w:rFonts w:ascii="Cambria" w:hAnsi="Cambria"/>
          <w:lang w:val="en-GB"/>
        </w:rPr>
        <w:sectPr w:rsidR="00493B32" w:rsidRPr="00C243CD" w:rsidSect="006550F9">
          <w:pgSz w:w="16838" w:h="11906" w:orient="landscape"/>
          <w:pgMar w:top="1440" w:right="2552" w:bottom="1440" w:left="1440" w:header="709" w:footer="709" w:gutter="0"/>
          <w:cols w:space="708"/>
          <w:titlePg/>
          <w:docGrid w:linePitch="360"/>
        </w:sectPr>
      </w:pPr>
    </w:p>
    <w:p w14:paraId="521CADD9" w14:textId="55D68675" w:rsidR="002B5DBA" w:rsidRPr="00C243CD" w:rsidRDefault="00AF0536" w:rsidP="00B27610">
      <w:pPr>
        <w:pStyle w:val="Heading3"/>
        <w:numPr>
          <w:ilvl w:val="0"/>
          <w:numId w:val="22"/>
        </w:numPr>
        <w:ind w:left="426" w:hanging="426"/>
        <w:rPr>
          <w:rFonts w:ascii="Cambria" w:hAnsi="Cambria"/>
          <w:lang w:val="en-GB"/>
        </w:rPr>
      </w:pPr>
      <w:bookmarkStart w:id="210" w:name="_Toc12973028"/>
      <w:bookmarkStart w:id="211" w:name="_Toc13755758"/>
      <w:r>
        <w:rPr>
          <w:rFonts w:ascii="Cambria" w:hAnsi="Cambria"/>
          <w:lang w:val="en-GB"/>
        </w:rPr>
        <w:lastRenderedPageBreak/>
        <w:t>T05.01</w:t>
      </w:r>
      <w:r w:rsidR="009202A4" w:rsidRPr="00C243CD">
        <w:rPr>
          <w:rFonts w:ascii="Cambria" w:hAnsi="Cambria"/>
          <w:lang w:val="en-GB"/>
        </w:rPr>
        <w:t xml:space="preserve"> </w:t>
      </w:r>
      <w:r>
        <w:rPr>
          <w:rFonts w:ascii="Cambria" w:hAnsi="Cambria"/>
          <w:lang w:val="en-GB"/>
        </w:rPr>
        <w:t>–</w:t>
      </w:r>
      <w:r w:rsidR="009202A4" w:rsidRPr="00C243CD">
        <w:rPr>
          <w:rFonts w:ascii="Cambria" w:hAnsi="Cambria"/>
          <w:lang w:val="en-GB"/>
        </w:rPr>
        <w:t xml:space="preserve"> </w:t>
      </w:r>
      <w:r>
        <w:rPr>
          <w:rFonts w:ascii="Cambria" w:hAnsi="Cambria"/>
          <w:lang w:val="en-GB"/>
        </w:rPr>
        <w:t>All Deposits (excluding intragroup)</w:t>
      </w:r>
      <w:bookmarkEnd w:id="210"/>
      <w:bookmarkEnd w:id="211"/>
    </w:p>
    <w:p w14:paraId="31464502" w14:textId="23F4D2F1" w:rsidR="00DA5C81" w:rsidRPr="00C243CD" w:rsidRDefault="00AF0536" w:rsidP="009474F1">
      <w:pPr>
        <w:rPr>
          <w:rFonts w:ascii="Cambria" w:hAnsi="Cambria"/>
          <w:lang w:val="en-GB"/>
        </w:rPr>
      </w:pPr>
      <w:r>
        <w:rPr>
          <w:rFonts w:ascii="Cambria" w:hAnsi="Cambria"/>
          <w:lang w:val="en-GB"/>
        </w:rPr>
        <w:t>The scope of this report covers all deposits, regardless of the nature of the deposit or the term, but excluding intragroup transactions.</w:t>
      </w:r>
    </w:p>
    <w:p w14:paraId="48A3ED8F" w14:textId="58D8EFCE" w:rsidR="00AF0536" w:rsidRDefault="005C174B" w:rsidP="005C174B">
      <w:pPr>
        <w:rPr>
          <w:rFonts w:ascii="Cambria" w:hAnsi="Cambria"/>
          <w:lang w:val="en-GB"/>
        </w:rPr>
      </w:pPr>
      <w:commentRangeStart w:id="212"/>
      <w:r w:rsidRPr="00C243CD">
        <w:rPr>
          <w:rFonts w:ascii="Cambria" w:hAnsi="Cambria"/>
          <w:lang w:val="en-GB"/>
        </w:rPr>
        <w:t xml:space="preserve">For the purposes of this table, </w:t>
      </w:r>
      <w:r w:rsidR="00EE211E">
        <w:rPr>
          <w:rFonts w:ascii="Cambria" w:hAnsi="Cambria"/>
          <w:lang w:val="en-GB"/>
        </w:rPr>
        <w:t xml:space="preserve">all </w:t>
      </w:r>
      <w:r w:rsidR="00AF0536">
        <w:rPr>
          <w:rFonts w:ascii="Cambria" w:hAnsi="Cambria"/>
          <w:lang w:val="en-GB"/>
        </w:rPr>
        <w:t xml:space="preserve">covered </w:t>
      </w:r>
      <w:r w:rsidRPr="00C243CD">
        <w:rPr>
          <w:rFonts w:ascii="Cambria" w:hAnsi="Cambria"/>
          <w:lang w:val="en-GB"/>
        </w:rPr>
        <w:t>de</w:t>
      </w:r>
      <w:r w:rsidR="00AF0536">
        <w:rPr>
          <w:rFonts w:ascii="Cambria" w:hAnsi="Cambria"/>
          <w:lang w:val="en-GB"/>
        </w:rPr>
        <w:t>posits, and deposits with a residual maturity of less than 1 year should be grouped by counterparty</w:t>
      </w:r>
      <w:r w:rsidR="00EE211E">
        <w:rPr>
          <w:rFonts w:ascii="Cambria" w:hAnsi="Cambria"/>
          <w:lang w:val="en-GB"/>
        </w:rPr>
        <w:t xml:space="preserve"> (column c002</w:t>
      </w:r>
      <w:r w:rsidR="0013173E">
        <w:rPr>
          <w:rFonts w:ascii="Cambria" w:hAnsi="Cambria"/>
          <w:lang w:val="en-GB"/>
        </w:rPr>
        <w:t>5</w:t>
      </w:r>
      <w:r w:rsidR="00EE211E">
        <w:rPr>
          <w:rFonts w:ascii="Cambria" w:hAnsi="Cambria"/>
          <w:lang w:val="en-GB"/>
        </w:rPr>
        <w:t>)</w:t>
      </w:r>
      <w:r w:rsidR="00AF0536">
        <w:rPr>
          <w:rFonts w:ascii="Cambria" w:hAnsi="Cambria"/>
          <w:lang w:val="en-GB"/>
        </w:rPr>
        <w:t>.</w:t>
      </w:r>
      <w:commentRangeEnd w:id="212"/>
      <w:r w:rsidR="004A1962">
        <w:rPr>
          <w:rStyle w:val="CommentReference"/>
          <w:rFonts w:ascii="Cambria" w:eastAsia="MS Mincho" w:hAnsi="Cambria" w:cs="Times New Roman"/>
          <w:lang w:val="en-US"/>
        </w:rPr>
        <w:commentReference w:id="212"/>
      </w:r>
    </w:p>
    <w:p w14:paraId="6FD23C22" w14:textId="4D2E87F5" w:rsidR="005C174B" w:rsidRDefault="00AF0536" w:rsidP="005C174B">
      <w:pPr>
        <w:rPr>
          <w:rFonts w:ascii="Cambria" w:hAnsi="Cambria"/>
          <w:lang w:val="en-GB"/>
        </w:rPr>
      </w:pPr>
      <w:r>
        <w:rPr>
          <w:rFonts w:ascii="Cambria" w:hAnsi="Cambria"/>
          <w:lang w:val="en-GB"/>
        </w:rPr>
        <w:t>All other deposits</w:t>
      </w:r>
      <w:r w:rsidR="00EE211E">
        <w:rPr>
          <w:rFonts w:ascii="Cambria" w:hAnsi="Cambria"/>
          <w:lang w:val="en-GB"/>
        </w:rPr>
        <w:t xml:space="preserve"> with a residual maturity &gt;1 year </w:t>
      </w:r>
      <w:r>
        <w:rPr>
          <w:rFonts w:ascii="Cambria" w:hAnsi="Cambria"/>
          <w:lang w:val="en-GB"/>
        </w:rPr>
        <w:t>must</w:t>
      </w:r>
      <w:r w:rsidR="005C174B" w:rsidRPr="00C243CD">
        <w:rPr>
          <w:rFonts w:ascii="Cambria" w:hAnsi="Cambria"/>
          <w:lang w:val="en-GB"/>
        </w:rPr>
        <w:t xml:space="preserve"> be reported on a transaction basis, i.e. each transaction reported as an individual line item.</w:t>
      </w:r>
      <w:r w:rsidR="00E92F58" w:rsidRPr="00C243CD">
        <w:rPr>
          <w:rFonts w:ascii="Cambria" w:hAnsi="Cambria"/>
          <w:lang w:val="en-GB"/>
        </w:rPr>
        <w:t xml:space="preserve"> No reporting thresholds are applicable in this respect.</w:t>
      </w:r>
    </w:p>
    <w:p w14:paraId="6F59DF75" w14:textId="03C2DA2E" w:rsidR="004F470B" w:rsidRPr="00C243CD" w:rsidRDefault="00DA3A5D" w:rsidP="004F470B">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10 - N°</w:t>
      </w:r>
    </w:p>
    <w:p w14:paraId="4C16FABA" w14:textId="29415268" w:rsidR="007E3EA5" w:rsidRDefault="004F470B" w:rsidP="000D5E4E">
      <w:pPr>
        <w:rPr>
          <w:rFonts w:ascii="Cambria" w:hAnsi="Cambria"/>
          <w:lang w:val="en-GB"/>
        </w:rPr>
      </w:pPr>
      <w:r w:rsidRPr="00C243CD">
        <w:rPr>
          <w:rFonts w:ascii="Cambria" w:hAnsi="Cambria"/>
          <w:lang w:val="en-GB"/>
        </w:rPr>
        <w:t xml:space="preserve">Unique number/primary </w:t>
      </w:r>
      <w:r w:rsidR="000D5E4E">
        <w:rPr>
          <w:rFonts w:ascii="Cambria" w:hAnsi="Cambria"/>
          <w:lang w:val="en-GB"/>
        </w:rPr>
        <w:t>key to identify the line items.</w:t>
      </w:r>
    </w:p>
    <w:p w14:paraId="226695C0" w14:textId="239B79EE" w:rsidR="00DA5C81" w:rsidRPr="00C243CD" w:rsidRDefault="00DA3A5D" w:rsidP="000D5E4E">
      <w:pPr>
        <w:pStyle w:val="Heading4"/>
        <w:rPr>
          <w:rFonts w:ascii="Cambria" w:hAnsi="Cambria"/>
          <w:lang w:val="en-GB"/>
        </w:rPr>
      </w:pPr>
      <w:r w:rsidRPr="00C243CD">
        <w:rPr>
          <w:rFonts w:ascii="Cambria" w:hAnsi="Cambria"/>
          <w:lang w:val="en-GB"/>
        </w:rPr>
        <w:t>c00</w:t>
      </w:r>
      <w:r w:rsidR="00DA5C81" w:rsidRPr="00C243CD">
        <w:rPr>
          <w:rFonts w:ascii="Cambria" w:hAnsi="Cambria"/>
          <w:lang w:val="en-GB"/>
        </w:rPr>
        <w:t xml:space="preserve">20 - </w:t>
      </w:r>
      <w:r w:rsidR="00EE211E">
        <w:rPr>
          <w:rFonts w:ascii="Cambria" w:hAnsi="Cambria"/>
          <w:lang w:val="en-GB"/>
        </w:rPr>
        <w:t>Line</w:t>
      </w:r>
    </w:p>
    <w:p w14:paraId="534E99F7" w14:textId="6336F7DC" w:rsidR="00EE211E" w:rsidRPr="00C243CD" w:rsidRDefault="00EE211E" w:rsidP="00EE211E">
      <w:pPr>
        <w:rPr>
          <w:rFonts w:ascii="Cambria" w:hAnsi="Cambria"/>
          <w:lang w:val="en-GB"/>
        </w:rPr>
      </w:pPr>
      <w:r w:rsidRPr="00C243CD">
        <w:rPr>
          <w:rFonts w:ascii="Cambria" w:hAnsi="Cambria"/>
          <w:lang w:val="en-GB"/>
        </w:rPr>
        <w:t xml:space="preserve">For </w:t>
      </w:r>
      <w:r>
        <w:rPr>
          <w:rFonts w:ascii="Cambria" w:hAnsi="Cambria"/>
          <w:lang w:val="en-GB"/>
        </w:rPr>
        <w:t>each deposit</w:t>
      </w:r>
      <w:r w:rsidRPr="00C243CD">
        <w:rPr>
          <w:rFonts w:ascii="Cambria" w:hAnsi="Cambria"/>
          <w:lang w:val="en-GB"/>
        </w:rPr>
        <w:t>, a reconciliation with the categories of liabilities of the liability structure in T01.00 has to be provided at the level of maturity from a predefined list of values.</w:t>
      </w:r>
    </w:p>
    <w:p w14:paraId="641C93E5" w14:textId="5E465846" w:rsidR="00EE211E" w:rsidRPr="00C243CD" w:rsidRDefault="00EE211E" w:rsidP="00EE211E">
      <w:pPr>
        <w:pStyle w:val="Heading4"/>
        <w:rPr>
          <w:rFonts w:ascii="Cambria" w:hAnsi="Cambria"/>
          <w:lang w:val="en-GB"/>
        </w:rPr>
      </w:pPr>
      <w:r w:rsidRPr="00C243CD">
        <w:rPr>
          <w:rFonts w:ascii="Cambria" w:hAnsi="Cambria"/>
          <w:lang w:val="en-GB"/>
        </w:rPr>
        <w:t>c002</w:t>
      </w:r>
      <w:r>
        <w:rPr>
          <w:rFonts w:ascii="Cambria" w:hAnsi="Cambria"/>
          <w:lang w:val="en-GB"/>
        </w:rPr>
        <w:t>5</w:t>
      </w:r>
      <w:r w:rsidRPr="00C243CD">
        <w:rPr>
          <w:rFonts w:ascii="Cambria" w:hAnsi="Cambria"/>
          <w:lang w:val="en-GB"/>
        </w:rPr>
        <w:t xml:space="preserve"> </w:t>
      </w:r>
      <w:r>
        <w:rPr>
          <w:rFonts w:ascii="Cambria" w:hAnsi="Cambria"/>
          <w:lang w:val="en-GB"/>
        </w:rPr>
        <w:t>–</w:t>
      </w:r>
      <w:r w:rsidRPr="00C243CD">
        <w:rPr>
          <w:rFonts w:ascii="Cambria" w:hAnsi="Cambria"/>
          <w:lang w:val="en-GB"/>
        </w:rPr>
        <w:t xml:space="preserve"> </w:t>
      </w:r>
      <w:r>
        <w:rPr>
          <w:rFonts w:ascii="Cambria" w:hAnsi="Cambria"/>
          <w:lang w:val="en-GB"/>
        </w:rPr>
        <w:t>Column</w:t>
      </w:r>
    </w:p>
    <w:p w14:paraId="3762A8F6" w14:textId="77777777" w:rsidR="00EE211E" w:rsidRPr="00C243CD" w:rsidRDefault="00EE211E" w:rsidP="00EE211E">
      <w:pPr>
        <w:rPr>
          <w:rFonts w:ascii="Cambria" w:hAnsi="Cambria"/>
          <w:lang w:val="en-GB"/>
        </w:rPr>
      </w:pPr>
      <w:r w:rsidRPr="00C243CD">
        <w:rPr>
          <w:rFonts w:ascii="Cambria" w:hAnsi="Cambria"/>
          <w:lang w:val="en-GB"/>
        </w:rPr>
        <w:t>For each deposit, a reconciliation with the counterparty class in T01.00 to which the deposit is owed has to be provided from predefined list of values.</w:t>
      </w:r>
    </w:p>
    <w:p w14:paraId="0B468DA2" w14:textId="53CE3997" w:rsidR="00D202BC" w:rsidRPr="00C243CD" w:rsidRDefault="00DA3A5D" w:rsidP="009474F1">
      <w:pPr>
        <w:pStyle w:val="Heading4"/>
        <w:rPr>
          <w:rFonts w:ascii="Cambria" w:hAnsi="Cambria"/>
          <w:lang w:val="en-GB"/>
        </w:rPr>
      </w:pPr>
      <w:r w:rsidRPr="00C243CD">
        <w:rPr>
          <w:rFonts w:ascii="Cambria" w:hAnsi="Cambria"/>
          <w:lang w:val="en-GB"/>
        </w:rPr>
        <w:t>c00</w:t>
      </w:r>
      <w:r w:rsidR="00D202BC" w:rsidRPr="00C243CD">
        <w:rPr>
          <w:rFonts w:ascii="Cambria" w:hAnsi="Cambria"/>
          <w:lang w:val="en-GB"/>
        </w:rPr>
        <w:t>30 - Insolvency Ranking</w:t>
      </w:r>
    </w:p>
    <w:p w14:paraId="2CB43667" w14:textId="77777777" w:rsidR="00D202BC" w:rsidRPr="00C243CD" w:rsidRDefault="00D202BC" w:rsidP="009474F1">
      <w:pPr>
        <w:rPr>
          <w:rFonts w:ascii="Cambria" w:hAnsi="Cambria"/>
          <w:lang w:val="en-GB"/>
        </w:rPr>
      </w:pPr>
      <w:r w:rsidRPr="00C243CD">
        <w:rPr>
          <w:rFonts w:ascii="Cambria" w:hAnsi="Cambria"/>
          <w:lang w:val="en-GB"/>
        </w:rPr>
        <w:t xml:space="preserve">Identified ranking in line with </w:t>
      </w:r>
      <w:r w:rsidR="00E62E61" w:rsidRPr="00C243CD">
        <w:rPr>
          <w:rFonts w:ascii="Cambria" w:hAnsi="Cambria"/>
          <w:lang w:val="en-GB"/>
        </w:rPr>
        <w:t xml:space="preserve">Part 1, Section 6 </w:t>
      </w:r>
      <w:r w:rsidRPr="00C243CD">
        <w:rPr>
          <w:rFonts w:ascii="Cambria" w:hAnsi="Cambria"/>
          <w:lang w:val="en-GB"/>
        </w:rPr>
        <w:t xml:space="preserve">of the </w:t>
      </w:r>
      <w:r w:rsidR="00341874" w:rsidRPr="00C243CD">
        <w:rPr>
          <w:rFonts w:ascii="Cambria" w:hAnsi="Cambria"/>
          <w:lang w:val="en-GB"/>
        </w:rPr>
        <w:t>guidance</w:t>
      </w:r>
      <w:r w:rsidRPr="00C243CD">
        <w:rPr>
          <w:rFonts w:ascii="Cambria" w:hAnsi="Cambria"/>
          <w:lang w:val="en-GB"/>
        </w:rPr>
        <w:t>.</w:t>
      </w:r>
    </w:p>
    <w:p w14:paraId="51176777" w14:textId="5D648C80" w:rsidR="00EE211E" w:rsidRPr="00C243CD" w:rsidRDefault="00EE211E" w:rsidP="00EE211E">
      <w:pPr>
        <w:pStyle w:val="Heading4"/>
        <w:rPr>
          <w:rFonts w:ascii="Cambria" w:hAnsi="Cambria"/>
          <w:lang w:val="en-GB"/>
        </w:rPr>
      </w:pPr>
      <w:r w:rsidRPr="00C243CD">
        <w:rPr>
          <w:rFonts w:ascii="Cambria" w:hAnsi="Cambria"/>
          <w:lang w:val="en-GB"/>
        </w:rPr>
        <w:t>c003</w:t>
      </w:r>
      <w:r>
        <w:rPr>
          <w:rFonts w:ascii="Cambria" w:hAnsi="Cambria"/>
          <w:lang w:val="en-GB"/>
        </w:rPr>
        <w:t>5</w:t>
      </w:r>
      <w:r w:rsidRPr="00C243CD">
        <w:rPr>
          <w:rFonts w:ascii="Cambria" w:hAnsi="Cambria"/>
          <w:lang w:val="en-GB"/>
        </w:rPr>
        <w:t xml:space="preserve"> </w:t>
      </w:r>
      <w:r>
        <w:rPr>
          <w:rFonts w:ascii="Cambria" w:hAnsi="Cambria"/>
          <w:lang w:val="en-GB"/>
        </w:rPr>
        <w:t>–</w:t>
      </w:r>
      <w:r w:rsidRPr="00C243CD">
        <w:rPr>
          <w:rFonts w:ascii="Cambria" w:hAnsi="Cambria"/>
          <w:lang w:val="en-GB"/>
        </w:rPr>
        <w:t xml:space="preserve"> </w:t>
      </w:r>
      <w:r>
        <w:rPr>
          <w:rFonts w:ascii="Cambria" w:hAnsi="Cambria"/>
          <w:lang w:val="en-GB"/>
        </w:rPr>
        <w:t>Contract Identifier</w:t>
      </w:r>
    </w:p>
    <w:p w14:paraId="24CF68B0" w14:textId="103E7CAA" w:rsidR="00EE211E" w:rsidRDefault="00EE211E" w:rsidP="00EE211E">
      <w:pPr>
        <w:rPr>
          <w:rFonts w:ascii="Cambria" w:hAnsi="Cambria"/>
          <w:lang w:val="en-GB"/>
        </w:rPr>
      </w:pPr>
      <w:r w:rsidRPr="00C243CD">
        <w:rPr>
          <w:rFonts w:ascii="Cambria" w:hAnsi="Cambria"/>
          <w:lang w:val="en-GB"/>
        </w:rPr>
        <w:t>Internal identifier of the contract</w:t>
      </w:r>
      <w:r>
        <w:rPr>
          <w:rFonts w:ascii="Cambria" w:hAnsi="Cambria"/>
          <w:lang w:val="en-GB"/>
        </w:rPr>
        <w:t>.</w:t>
      </w:r>
    </w:p>
    <w:p w14:paraId="1897C9E3" w14:textId="29844893"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 xml:space="preserve">40 - </w:t>
      </w:r>
      <w:r w:rsidR="00EE211E">
        <w:rPr>
          <w:rFonts w:ascii="Cambria" w:hAnsi="Cambria"/>
          <w:lang w:val="en-GB"/>
        </w:rPr>
        <w:t>Counterparty</w:t>
      </w:r>
      <w:r w:rsidR="00965702" w:rsidRPr="00C243CD">
        <w:rPr>
          <w:rFonts w:ascii="Cambria" w:hAnsi="Cambria"/>
          <w:lang w:val="en-GB"/>
        </w:rPr>
        <w:t xml:space="preserve"> </w:t>
      </w:r>
      <w:r w:rsidR="002B5DBA" w:rsidRPr="00C243CD">
        <w:rPr>
          <w:rFonts w:ascii="Cambria" w:hAnsi="Cambria"/>
          <w:lang w:val="en-GB"/>
        </w:rPr>
        <w:t>Identifier</w:t>
      </w:r>
      <w:r w:rsidR="00EE211E">
        <w:rPr>
          <w:rFonts w:ascii="Cambria" w:hAnsi="Cambria"/>
          <w:lang w:val="en-GB"/>
        </w:rPr>
        <w:t xml:space="preserve"> (preferably LEI code)</w:t>
      </w:r>
    </w:p>
    <w:p w14:paraId="1228D359" w14:textId="4DA7C88E" w:rsidR="002B5DBA" w:rsidRPr="00C243CD" w:rsidRDefault="00C30939" w:rsidP="009474F1">
      <w:pPr>
        <w:rPr>
          <w:rFonts w:ascii="Cambria" w:hAnsi="Cambria"/>
          <w:lang w:val="en-GB"/>
        </w:rPr>
      </w:pPr>
      <w:r w:rsidRPr="00C30939">
        <w:rPr>
          <w:rFonts w:ascii="Cambria" w:hAnsi="Cambria"/>
          <w:lang w:val="en-GB"/>
        </w:rPr>
        <w:t>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t>
      </w:r>
      <w:r w:rsidR="002B5DBA" w:rsidRPr="00C243CD">
        <w:rPr>
          <w:rFonts w:ascii="Cambria" w:hAnsi="Cambria"/>
          <w:lang w:val="en-GB"/>
        </w:rPr>
        <w:t xml:space="preserve"> </w:t>
      </w:r>
      <w:r>
        <w:rPr>
          <w:rFonts w:ascii="Cambria" w:hAnsi="Cambria"/>
          <w:lang w:val="en-GB"/>
        </w:rPr>
        <w:t>(t</w:t>
      </w:r>
      <w:r w:rsidR="002B5DBA" w:rsidRPr="00C243CD">
        <w:rPr>
          <w:rFonts w:ascii="Cambria" w:hAnsi="Cambria"/>
          <w:lang w:val="en-GB"/>
        </w:rPr>
        <w:t>here should be only one unique identifier used per counterpart</w:t>
      </w:r>
      <w:r>
        <w:rPr>
          <w:rFonts w:ascii="Cambria" w:hAnsi="Cambria"/>
          <w:lang w:val="en-GB"/>
        </w:rPr>
        <w:t>)</w:t>
      </w:r>
      <w:r w:rsidR="002B5DBA" w:rsidRPr="00C243CD">
        <w:rPr>
          <w:rFonts w:ascii="Cambria" w:hAnsi="Cambria"/>
          <w:lang w:val="en-GB"/>
        </w:rPr>
        <w:t>.</w:t>
      </w:r>
    </w:p>
    <w:p w14:paraId="154E1E9E" w14:textId="78AF9AE6" w:rsidR="00DD7134" w:rsidRDefault="00DD7134" w:rsidP="00DD7134">
      <w:pPr>
        <w:rPr>
          <w:rFonts w:ascii="Cambria" w:eastAsiaTheme="majorEastAsia" w:hAnsi="Cambria" w:cstheme="majorBidi"/>
          <w:i/>
          <w:iCs/>
          <w:color w:val="2E74B5" w:themeColor="accent1" w:themeShade="BF"/>
          <w:lang w:val="en-GB"/>
        </w:rPr>
      </w:pPr>
      <w:r>
        <w:rPr>
          <w:rFonts w:ascii="Cambria" w:eastAsiaTheme="majorEastAsia" w:hAnsi="Cambria" w:cstheme="majorBidi"/>
          <w:i/>
          <w:iCs/>
          <w:color w:val="2E74B5" w:themeColor="accent1" w:themeShade="BF"/>
          <w:lang w:val="en-GB"/>
        </w:rPr>
        <w:t>c</w:t>
      </w:r>
      <w:r w:rsidRPr="00047E4D">
        <w:rPr>
          <w:rFonts w:ascii="Cambria" w:eastAsiaTheme="majorEastAsia" w:hAnsi="Cambria" w:cstheme="majorBidi"/>
          <w:i/>
          <w:iCs/>
          <w:color w:val="2E74B5" w:themeColor="accent1" w:themeShade="BF"/>
          <w:lang w:val="en-GB"/>
        </w:rPr>
        <w:t>00</w:t>
      </w:r>
      <w:r>
        <w:rPr>
          <w:rFonts w:ascii="Cambria" w:eastAsiaTheme="majorEastAsia" w:hAnsi="Cambria" w:cstheme="majorBidi"/>
          <w:i/>
          <w:iCs/>
          <w:color w:val="2E74B5" w:themeColor="accent1" w:themeShade="BF"/>
          <w:lang w:val="en-GB"/>
        </w:rPr>
        <w:t>45</w:t>
      </w:r>
      <w:r w:rsidRPr="00047E4D">
        <w:rPr>
          <w:rFonts w:ascii="Cambria" w:eastAsiaTheme="majorEastAsia" w:hAnsi="Cambria" w:cstheme="majorBidi"/>
          <w:i/>
          <w:iCs/>
          <w:color w:val="2E74B5" w:themeColor="accent1" w:themeShade="BF"/>
          <w:lang w:val="en-GB"/>
        </w:rPr>
        <w:t xml:space="preserve"> –Type of Identifier</w:t>
      </w:r>
    </w:p>
    <w:p w14:paraId="6F7E8A15" w14:textId="77777777" w:rsidR="003D6B3C" w:rsidRPr="003D6B3C" w:rsidRDefault="003D6B3C" w:rsidP="003D6B3C">
      <w:pPr>
        <w:rPr>
          <w:rFonts w:ascii="Cambria" w:hAnsi="Cambria"/>
          <w:lang w:val="en-GB"/>
        </w:rPr>
      </w:pPr>
      <w:r>
        <w:rPr>
          <w:rFonts w:ascii="Cambria" w:hAnsi="Cambria"/>
          <w:lang w:val="en-GB"/>
        </w:rPr>
        <w:t>To be chosen among the following options</w:t>
      </w:r>
      <w:r w:rsidRPr="003D6B3C">
        <w:rPr>
          <w:rFonts w:ascii="Cambria" w:hAnsi="Cambria"/>
          <w:lang w:val="en-GB"/>
        </w:rPr>
        <w:t>: “LEI code”, “MFI code” or “Type of identifier, other than LEI or MFI code”.</w:t>
      </w:r>
    </w:p>
    <w:p w14:paraId="4340B48E" w14:textId="52E0E666" w:rsidR="002B5DBA" w:rsidRPr="00C243CD" w:rsidRDefault="003D6B3C" w:rsidP="003D6B3C">
      <w:pPr>
        <w:pStyle w:val="Heading4"/>
        <w:rPr>
          <w:rFonts w:ascii="Cambria" w:hAnsi="Cambria"/>
          <w:lang w:val="en-GB"/>
        </w:rPr>
      </w:pPr>
      <w:r w:rsidRPr="00C243CD">
        <w:rPr>
          <w:rFonts w:ascii="Cambria" w:hAnsi="Cambria"/>
          <w:lang w:val="en-GB"/>
        </w:rPr>
        <w:t xml:space="preserve"> </w:t>
      </w:r>
      <w:r w:rsidR="00DA3A5D" w:rsidRPr="00C243CD">
        <w:rPr>
          <w:rFonts w:ascii="Cambria" w:hAnsi="Cambria"/>
          <w:lang w:val="en-GB"/>
        </w:rPr>
        <w:t>c00</w:t>
      </w:r>
      <w:r w:rsidR="003E7184" w:rsidRPr="00C243CD">
        <w:rPr>
          <w:rFonts w:ascii="Cambria" w:hAnsi="Cambria"/>
          <w:lang w:val="en-GB"/>
        </w:rPr>
        <w:t>5</w:t>
      </w:r>
      <w:r w:rsidR="002B5DBA" w:rsidRPr="00C243CD">
        <w:rPr>
          <w:rFonts w:ascii="Cambria" w:hAnsi="Cambria"/>
          <w:lang w:val="en-GB"/>
        </w:rPr>
        <w:t>0 - Governing Law</w:t>
      </w:r>
    </w:p>
    <w:p w14:paraId="245B8068" w14:textId="14B244D4" w:rsidR="002B5DBA" w:rsidRPr="00C243CD" w:rsidRDefault="002B5DBA" w:rsidP="009474F1">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t>
      </w:r>
      <w:r w:rsidR="00F64A95" w:rsidRPr="00C243CD">
        <w:rPr>
          <w:rFonts w:ascii="Cambria" w:hAnsi="Cambria"/>
          <w:lang w:val="en-GB"/>
        </w:rPr>
        <w:t>whose</w:t>
      </w:r>
      <w:r w:rsidRPr="00C243CD">
        <w:rPr>
          <w:rFonts w:ascii="Cambria" w:hAnsi="Cambria"/>
          <w:lang w:val="en-GB"/>
        </w:rPr>
        <w:t xml:space="preserve"> law governs the </w:t>
      </w:r>
      <w:r w:rsidR="003D0B7A" w:rsidRPr="00C243CD">
        <w:rPr>
          <w:rFonts w:ascii="Cambria" w:hAnsi="Cambria"/>
          <w:lang w:val="en-GB"/>
        </w:rPr>
        <w:t>deposit</w:t>
      </w:r>
      <w:r w:rsidRPr="00C243CD">
        <w:rPr>
          <w:rFonts w:ascii="Cambria" w:hAnsi="Cambria"/>
          <w:lang w:val="en-GB"/>
        </w:rPr>
        <w:t>.</w:t>
      </w:r>
    </w:p>
    <w:p w14:paraId="6559E0EF" w14:textId="59B33D65"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6</w:t>
      </w:r>
      <w:r w:rsidR="002B5DBA" w:rsidRPr="00C243CD">
        <w:rPr>
          <w:rFonts w:ascii="Cambria" w:hAnsi="Cambria"/>
          <w:lang w:val="en-GB"/>
        </w:rPr>
        <w:t xml:space="preserve">0 </w:t>
      </w:r>
      <w:r w:rsidR="00696BC4">
        <w:rPr>
          <w:rFonts w:ascii="Cambria" w:hAnsi="Cambria"/>
          <w:lang w:val="en-GB"/>
        </w:rPr>
        <w:t>–</w:t>
      </w:r>
      <w:r w:rsidR="002B5DBA" w:rsidRPr="00C243CD">
        <w:rPr>
          <w:rFonts w:ascii="Cambria" w:hAnsi="Cambria"/>
          <w:lang w:val="en-GB"/>
        </w:rPr>
        <w:t xml:space="preserve"> Currency</w:t>
      </w:r>
    </w:p>
    <w:p w14:paraId="441711C8" w14:textId="3764ADC0" w:rsidR="002B5DBA" w:rsidRPr="00C243CD" w:rsidRDefault="002B5DBA" w:rsidP="009474F1">
      <w:pPr>
        <w:rPr>
          <w:rFonts w:ascii="Cambria" w:hAnsi="Cambria"/>
          <w:lang w:val="en-GB"/>
        </w:rPr>
      </w:pPr>
      <w:r w:rsidRPr="00C243CD">
        <w:rPr>
          <w:rFonts w:ascii="Cambria" w:hAnsi="Cambria"/>
          <w:lang w:val="en-GB"/>
        </w:rPr>
        <w:t xml:space="preserve">The currency in which the </w:t>
      </w:r>
      <w:r w:rsidR="003D0B7A" w:rsidRPr="00C243CD">
        <w:rPr>
          <w:rFonts w:ascii="Cambria" w:hAnsi="Cambria"/>
          <w:lang w:val="en-GB"/>
        </w:rPr>
        <w:t xml:space="preserve">deposit </w:t>
      </w:r>
      <w:r w:rsidRPr="00C243CD">
        <w:rPr>
          <w:rFonts w:ascii="Cambria" w:hAnsi="Cambria"/>
          <w:lang w:val="en-GB"/>
        </w:rPr>
        <w:t xml:space="preserve">is </w:t>
      </w:r>
      <w:r w:rsidR="003D0B7A" w:rsidRPr="00C243CD">
        <w:rPr>
          <w:rFonts w:ascii="Cambria" w:hAnsi="Cambria"/>
          <w:lang w:val="en-GB"/>
        </w:rPr>
        <w:t>collected</w:t>
      </w:r>
      <w:r w:rsidRPr="00C243CD">
        <w:rPr>
          <w:rFonts w:ascii="Cambria" w:hAnsi="Cambria"/>
          <w:lang w:val="en-GB"/>
        </w:rPr>
        <w:t>.</w:t>
      </w:r>
    </w:p>
    <w:p w14:paraId="44120125" w14:textId="4C472B86"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7</w:t>
      </w:r>
      <w:r w:rsidR="002B5DBA" w:rsidRPr="00C243CD">
        <w:rPr>
          <w:rFonts w:ascii="Cambria" w:hAnsi="Cambria"/>
          <w:lang w:val="en-GB"/>
        </w:rPr>
        <w:t>0 - Outstanding Principal Amount</w:t>
      </w:r>
    </w:p>
    <w:p w14:paraId="01C2B9F8" w14:textId="77777777" w:rsidR="002B5DBA" w:rsidRPr="00C243CD" w:rsidRDefault="002B5DBA" w:rsidP="009474F1">
      <w:pPr>
        <w:rPr>
          <w:rFonts w:ascii="Cambria" w:hAnsi="Cambria"/>
          <w:lang w:val="en-GB"/>
        </w:rPr>
      </w:pPr>
      <w:r w:rsidRPr="00C243CD">
        <w:rPr>
          <w:rFonts w:ascii="Cambria" w:hAnsi="Cambria"/>
          <w:lang w:val="en-GB"/>
        </w:rPr>
        <w:t xml:space="preserve">The EUR (counter) value of the outstanding principal amount of the </w:t>
      </w:r>
      <w:r w:rsidR="003D0B7A" w:rsidRPr="00C243CD">
        <w:rPr>
          <w:rFonts w:ascii="Cambria" w:hAnsi="Cambria"/>
          <w:lang w:val="en-GB"/>
        </w:rPr>
        <w:t>deposit</w:t>
      </w:r>
      <w:r w:rsidRPr="00C243CD">
        <w:rPr>
          <w:rFonts w:ascii="Cambria" w:hAnsi="Cambria"/>
          <w:lang w:val="en-GB"/>
        </w:rPr>
        <w:t>.</w:t>
      </w:r>
    </w:p>
    <w:p w14:paraId="2665042F" w14:textId="67089835"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8</w:t>
      </w:r>
      <w:r w:rsidR="002B5DBA" w:rsidRPr="00C243CD">
        <w:rPr>
          <w:rFonts w:ascii="Cambria" w:hAnsi="Cambria"/>
          <w:lang w:val="en-GB"/>
        </w:rPr>
        <w:t>0 - Accrued Interest</w:t>
      </w:r>
    </w:p>
    <w:p w14:paraId="0C5E558C" w14:textId="77777777" w:rsidR="002B5DBA" w:rsidRPr="00C243CD" w:rsidRDefault="002B5DBA" w:rsidP="009474F1">
      <w:pPr>
        <w:rPr>
          <w:rFonts w:ascii="Cambria" w:hAnsi="Cambria"/>
          <w:lang w:val="en-GB"/>
        </w:rPr>
      </w:pPr>
      <w:r w:rsidRPr="00C243CD">
        <w:rPr>
          <w:rFonts w:ascii="Cambria" w:hAnsi="Cambria"/>
          <w:lang w:val="en-GB"/>
        </w:rPr>
        <w:t xml:space="preserve">The EUR (counter) value of the outstanding accrued interest on the </w:t>
      </w:r>
      <w:r w:rsidR="003D0B7A" w:rsidRPr="00C243CD">
        <w:rPr>
          <w:rFonts w:ascii="Cambria" w:hAnsi="Cambria"/>
          <w:lang w:val="en-GB"/>
        </w:rPr>
        <w:t>deposit</w:t>
      </w:r>
      <w:r w:rsidRPr="00C243CD">
        <w:rPr>
          <w:rFonts w:ascii="Cambria" w:hAnsi="Cambria"/>
          <w:lang w:val="en-GB"/>
        </w:rPr>
        <w:t>.</w:t>
      </w:r>
    </w:p>
    <w:p w14:paraId="1A049781" w14:textId="2F1071DF" w:rsidR="003D0B7A" w:rsidRPr="00C243CD" w:rsidRDefault="00DA3A5D" w:rsidP="009474F1">
      <w:pPr>
        <w:pStyle w:val="Heading4"/>
        <w:rPr>
          <w:rFonts w:ascii="Cambria" w:hAnsi="Cambria"/>
          <w:lang w:val="en-GB"/>
        </w:rPr>
      </w:pPr>
      <w:r w:rsidRPr="00C243CD">
        <w:rPr>
          <w:rFonts w:ascii="Cambria" w:hAnsi="Cambria"/>
          <w:lang w:val="en-GB"/>
        </w:rPr>
        <w:t>c00</w:t>
      </w:r>
      <w:r w:rsidR="003D0B7A" w:rsidRPr="00C243CD">
        <w:rPr>
          <w:rFonts w:ascii="Cambria" w:hAnsi="Cambria"/>
          <w:lang w:val="en-GB"/>
        </w:rPr>
        <w:t>9</w:t>
      </w:r>
      <w:r w:rsidR="003E7184" w:rsidRPr="00C243CD">
        <w:rPr>
          <w:rFonts w:ascii="Cambria" w:hAnsi="Cambria"/>
          <w:lang w:val="en-GB"/>
        </w:rPr>
        <w:t>0</w:t>
      </w:r>
      <w:r w:rsidR="003D0B7A" w:rsidRPr="00C243CD">
        <w:rPr>
          <w:rFonts w:ascii="Cambria" w:hAnsi="Cambria"/>
          <w:lang w:val="en-GB"/>
        </w:rPr>
        <w:t xml:space="preserve"> - Current Interest Rate</w:t>
      </w:r>
      <w:r w:rsidR="009A4A48" w:rsidRPr="00C243CD">
        <w:rPr>
          <w:rFonts w:ascii="Cambria" w:hAnsi="Cambria"/>
          <w:lang w:val="en-GB"/>
        </w:rPr>
        <w:t xml:space="preserve"> (%)</w:t>
      </w:r>
    </w:p>
    <w:p w14:paraId="3D34F9D1" w14:textId="77777777" w:rsidR="003D0B7A" w:rsidRPr="00C243CD" w:rsidRDefault="003D0B7A" w:rsidP="00B27610">
      <w:pPr>
        <w:rPr>
          <w:rFonts w:ascii="Cambria" w:hAnsi="Cambria"/>
          <w:lang w:val="en-GB"/>
        </w:rPr>
      </w:pPr>
      <w:r w:rsidRPr="00C243CD">
        <w:rPr>
          <w:rFonts w:ascii="Cambria" w:hAnsi="Cambria"/>
          <w:lang w:val="en-GB"/>
        </w:rPr>
        <w:t>Current level of the interest rate that is applicable to the deposit.</w:t>
      </w:r>
      <w:r w:rsidR="008539D8" w:rsidRPr="00C243CD">
        <w:rPr>
          <w:rFonts w:ascii="Cambria" w:hAnsi="Cambria"/>
          <w:lang w:val="en-GB"/>
        </w:rPr>
        <w:t xml:space="preserve"> Notation shall be done in absolute value, where 1 equals 100% and with minimum 4 decimal numbers detail.</w:t>
      </w:r>
    </w:p>
    <w:p w14:paraId="3460AB7B" w14:textId="5EDF83E8" w:rsidR="00916DEB"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00</w:t>
      </w:r>
      <w:r w:rsidR="00916DEB" w:rsidRPr="00C243CD">
        <w:rPr>
          <w:rFonts w:ascii="Cambria" w:hAnsi="Cambria"/>
          <w:lang w:val="en-GB"/>
        </w:rPr>
        <w:t xml:space="preserve"> - Secured/Unsecured</w:t>
      </w:r>
    </w:p>
    <w:p w14:paraId="7B9F5E61" w14:textId="77777777" w:rsidR="00C51450" w:rsidRPr="00C243CD" w:rsidRDefault="003D0B7A" w:rsidP="00C51450">
      <w:pPr>
        <w:rPr>
          <w:rFonts w:ascii="Cambria" w:hAnsi="Cambria"/>
          <w:lang w:val="en-GB"/>
        </w:rPr>
      </w:pPr>
      <w:r w:rsidRPr="00C243CD">
        <w:rPr>
          <w:rFonts w:ascii="Cambria" w:hAnsi="Cambria"/>
          <w:lang w:val="en-GB"/>
        </w:rPr>
        <w:t>Distinguish between deposits that are subject to collateral agreements or not (i.e. secured by assets, pledge, lien or collateral) either ‘Secured’ or ‘Unsecured’ from a predefined list.</w:t>
      </w:r>
    </w:p>
    <w:p w14:paraId="2BF4A121" w14:textId="66FE7192" w:rsidR="00D17D16" w:rsidRPr="00C243CD" w:rsidRDefault="00DA3A5D" w:rsidP="00D17D16">
      <w:pPr>
        <w:pStyle w:val="Heading4"/>
        <w:rPr>
          <w:rFonts w:ascii="Cambria" w:hAnsi="Cambria"/>
          <w:lang w:val="en-GB"/>
        </w:rPr>
      </w:pPr>
      <w:r w:rsidRPr="00C243CD">
        <w:rPr>
          <w:rFonts w:ascii="Cambria" w:hAnsi="Cambria"/>
          <w:lang w:val="en-GB"/>
        </w:rPr>
        <w:lastRenderedPageBreak/>
        <w:t>c01</w:t>
      </w:r>
      <w:r w:rsidR="003E7184" w:rsidRPr="00C243CD">
        <w:rPr>
          <w:rFonts w:ascii="Cambria" w:hAnsi="Cambria"/>
          <w:lang w:val="en-GB"/>
        </w:rPr>
        <w:t>10</w:t>
      </w:r>
      <w:r w:rsidR="005E3190" w:rsidRPr="00C243CD">
        <w:rPr>
          <w:rFonts w:ascii="Cambria" w:hAnsi="Cambria"/>
          <w:lang w:val="en-GB"/>
        </w:rPr>
        <w:t xml:space="preserve"> - </w:t>
      </w:r>
      <w:r w:rsidR="00D17D16" w:rsidRPr="00C243CD">
        <w:rPr>
          <w:rFonts w:ascii="Cambria" w:hAnsi="Cambria"/>
          <w:lang w:val="en-GB"/>
        </w:rPr>
        <w:t>Amount of pledge, lien or collateral</w:t>
      </w:r>
    </w:p>
    <w:p w14:paraId="62D64C6C" w14:textId="77777777" w:rsidR="00D17D16" w:rsidRPr="00C243CD" w:rsidRDefault="00D17D16" w:rsidP="00D17D16">
      <w:pPr>
        <w:rPr>
          <w:rFonts w:ascii="Cambria" w:hAnsi="Cambria"/>
          <w:lang w:val="en-GB"/>
        </w:rPr>
      </w:pPr>
      <w:r w:rsidRPr="00C243CD">
        <w:rPr>
          <w:rFonts w:ascii="Cambria" w:hAnsi="Cambria"/>
          <w:lang w:val="en-GB"/>
        </w:rPr>
        <w:t xml:space="preserve">Where a liability is secured by a pledge, lien or collateral, the gross </w:t>
      </w:r>
      <w:r w:rsidR="006A77BA" w:rsidRPr="00C243CD">
        <w:rPr>
          <w:rFonts w:ascii="Cambria" w:hAnsi="Cambria"/>
          <w:lang w:val="en-GB"/>
        </w:rPr>
        <w:t xml:space="preserve">market </w:t>
      </w:r>
      <w:r w:rsidRPr="00C243CD">
        <w:rPr>
          <w:rFonts w:ascii="Cambria" w:hAnsi="Cambria"/>
          <w:lang w:val="en-GB"/>
        </w:rPr>
        <w:t>value of the latter shall be provided. Otherwise, for unsecured liabilities this category shall be reported as nil.</w:t>
      </w:r>
      <w:r w:rsidR="00D9361E" w:rsidRPr="00C243CD">
        <w:rPr>
          <w:rFonts w:ascii="Cambria" w:hAnsi="Cambria"/>
          <w:lang w:val="en-GB"/>
        </w:rPr>
        <w:t xml:space="preserve"> This amount will determine the collateralized and eventually the uncollateralized part of any secured deposit. For collateral pools securing multiple line items, the overall coverage ratio should be determined and applied </w:t>
      </w:r>
      <w:r w:rsidR="00D9361E" w:rsidRPr="00C243CD">
        <w:rPr>
          <w:rFonts w:ascii="Cambria" w:hAnsi="Cambria"/>
          <w:i/>
          <w:lang w:val="en-GB"/>
        </w:rPr>
        <w:t>pro rata</w:t>
      </w:r>
      <w:r w:rsidR="00D9361E" w:rsidRPr="00C243CD">
        <w:rPr>
          <w:rFonts w:ascii="Cambria" w:hAnsi="Cambria"/>
          <w:lang w:val="en-GB"/>
        </w:rPr>
        <w:t xml:space="preserve"> to all line items covered by this pool.</w:t>
      </w:r>
    </w:p>
    <w:p w14:paraId="523EB87B" w14:textId="25ACE820" w:rsidR="002B5DBA" w:rsidRPr="00C243CD" w:rsidRDefault="00DA3A5D" w:rsidP="00D17D16">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2</w:t>
      </w:r>
      <w:r w:rsidR="002B5DBA" w:rsidRPr="00C243CD">
        <w:rPr>
          <w:rFonts w:ascii="Cambria" w:hAnsi="Cambria"/>
          <w:lang w:val="en-GB"/>
        </w:rPr>
        <w:t>0 - Issuance Date for Term Deposits</w:t>
      </w:r>
    </w:p>
    <w:p w14:paraId="4B381A14" w14:textId="77777777" w:rsidR="002B5DBA" w:rsidRPr="00C243CD" w:rsidRDefault="002B5DBA" w:rsidP="009474F1">
      <w:pPr>
        <w:rPr>
          <w:rFonts w:ascii="Cambria" w:hAnsi="Cambria"/>
          <w:lang w:val="en-GB"/>
        </w:rPr>
      </w:pPr>
      <w:r w:rsidRPr="00C243CD">
        <w:rPr>
          <w:rFonts w:ascii="Cambria" w:hAnsi="Cambria"/>
          <w:lang w:val="en-GB"/>
        </w:rPr>
        <w:t>Date of the original issuance of the term deposit.</w:t>
      </w:r>
    </w:p>
    <w:p w14:paraId="424D5179" w14:textId="3FD4477A"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3</w:t>
      </w:r>
      <w:r w:rsidR="002B5DBA" w:rsidRPr="00C243CD">
        <w:rPr>
          <w:rFonts w:ascii="Cambria" w:hAnsi="Cambria"/>
          <w:lang w:val="en-GB"/>
        </w:rPr>
        <w:t>0 - Earliest Redemption Date</w:t>
      </w:r>
    </w:p>
    <w:p w14:paraId="2B3B717D" w14:textId="77777777" w:rsidR="002B5DBA" w:rsidRPr="00C243CD" w:rsidRDefault="00916DEB" w:rsidP="009474F1">
      <w:pPr>
        <w:rPr>
          <w:rFonts w:ascii="Cambria" w:hAnsi="Cambria"/>
          <w:lang w:val="en-GB"/>
        </w:rPr>
      </w:pPr>
      <w:r w:rsidRPr="00C243CD">
        <w:rPr>
          <w:rFonts w:ascii="Cambria" w:hAnsi="Cambria"/>
          <w:lang w:val="en-GB"/>
        </w:rPr>
        <w:t xml:space="preserve">Date of the legal, final maturity of the deposit. </w:t>
      </w:r>
      <w:r w:rsidR="002B5DBA" w:rsidRPr="00C243CD">
        <w:rPr>
          <w:rFonts w:ascii="Cambria" w:hAnsi="Cambria"/>
          <w:lang w:val="en-GB"/>
        </w:rPr>
        <w:t>If an option exists for the holders of the instrument to request early reimbursement, or conditions for early reimbursement are contractually foreseen, the earliest occurrence date should be completed.</w:t>
      </w:r>
      <w:r w:rsidR="00282945" w:rsidRPr="00C243CD">
        <w:rPr>
          <w:rFonts w:ascii="Cambria" w:hAnsi="Cambria"/>
          <w:lang w:val="en-GB"/>
        </w:rPr>
        <w:t xml:space="preserve"> If the early reimbursement relates to only a portion of the liability (e.g. early reimbursement of 50% of the nominal amount), the liability should be split to take into account this partial early redemption clause.</w:t>
      </w:r>
    </w:p>
    <w:p w14:paraId="227D9CC8" w14:textId="014CF04B" w:rsidR="006C3BDB" w:rsidRPr="00C243CD" w:rsidRDefault="00DA3A5D" w:rsidP="006C3BDB">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4</w:t>
      </w:r>
      <w:r w:rsidR="006C3BDB" w:rsidRPr="00C243CD">
        <w:rPr>
          <w:rFonts w:ascii="Cambria" w:hAnsi="Cambria"/>
          <w:lang w:val="en-GB"/>
        </w:rPr>
        <w:t>0 - Funding Amount Provided by Any Group Entity</w:t>
      </w:r>
    </w:p>
    <w:p w14:paraId="47F46C5D" w14:textId="77777777" w:rsidR="006C3BDB" w:rsidRPr="00C243CD" w:rsidRDefault="006C3BDB" w:rsidP="006C3BDB">
      <w:pPr>
        <w:rPr>
          <w:rFonts w:ascii="Cambria" w:hAnsi="Cambria"/>
          <w:lang w:val="en-GB"/>
        </w:rPr>
      </w:pPr>
      <w:r w:rsidRPr="00C243CD">
        <w:rPr>
          <w:rFonts w:ascii="Cambria" w:hAnsi="Cambria"/>
          <w:lang w:val="en-GB"/>
        </w:rPr>
        <w:t>Indicate the amount of funding that is provided to the creditor by the issuing entity or another group entity. This is in line with the BRRD requirement that eligible liabilities cannot be financed by the group/</w:t>
      </w:r>
      <w:r w:rsidR="00F400B4" w:rsidRPr="00C243CD">
        <w:rPr>
          <w:rFonts w:ascii="Cambria" w:hAnsi="Cambria"/>
          <w:lang w:val="en-GB"/>
        </w:rPr>
        <w:t>entity</w:t>
      </w:r>
      <w:r w:rsidRPr="00C243CD">
        <w:rPr>
          <w:rFonts w:ascii="Cambria" w:hAnsi="Cambria"/>
          <w:lang w:val="en-GB"/>
        </w:rPr>
        <w:t xml:space="preserve">. The aim of such a disposition is to avoid that MREL liabilities would be directly/indirectly financed by the groups and </w:t>
      </w:r>
      <w:r w:rsidR="00F400B4" w:rsidRPr="00C243CD">
        <w:rPr>
          <w:rFonts w:ascii="Cambria" w:hAnsi="Cambria"/>
          <w:lang w:val="en-GB"/>
        </w:rPr>
        <w:t>entities</w:t>
      </w:r>
      <w:r w:rsidRPr="00C243CD">
        <w:rPr>
          <w:rFonts w:ascii="Cambria" w:hAnsi="Cambria"/>
          <w:lang w:val="en-GB"/>
        </w:rPr>
        <w:t>, much in line with the provisions of article 28.1 (b) of the CRR, for which a delegated regulation has been adopted (No 241/2014, subsection 3)</w:t>
      </w:r>
      <w:r w:rsidR="00F17C2C" w:rsidRPr="00C243CD">
        <w:rPr>
          <w:rFonts w:ascii="Cambria" w:hAnsi="Cambria"/>
          <w:lang w:val="en-GB"/>
        </w:rPr>
        <w:t xml:space="preserve"> , yet extended to all liabilities rather than own funds only</w:t>
      </w:r>
      <w:r w:rsidRPr="00C243CD">
        <w:rPr>
          <w:rFonts w:ascii="Cambria" w:hAnsi="Cambria"/>
          <w:lang w:val="en-GB"/>
        </w:rPr>
        <w:t>.</w:t>
      </w:r>
    </w:p>
    <w:p w14:paraId="06EDFF1C" w14:textId="77777777" w:rsidR="001B323F" w:rsidRPr="00C243CD" w:rsidRDefault="001B323F">
      <w:pPr>
        <w:spacing w:after="160" w:line="259" w:lineRule="auto"/>
        <w:jc w:val="left"/>
        <w:rPr>
          <w:rFonts w:ascii="Cambria" w:hAnsi="Cambria"/>
          <w:lang w:val="en-GB"/>
        </w:rPr>
      </w:pPr>
      <w:r w:rsidRPr="00C243CD">
        <w:rPr>
          <w:rFonts w:ascii="Cambria" w:hAnsi="Cambria"/>
          <w:lang w:val="en-GB"/>
        </w:rPr>
        <w:br w:type="page"/>
      </w:r>
    </w:p>
    <w:p w14:paraId="7360880C" w14:textId="77777777" w:rsidR="001B323F" w:rsidRPr="00C243CD" w:rsidRDefault="001B323F">
      <w:pPr>
        <w:spacing w:after="160" w:line="259" w:lineRule="auto"/>
        <w:jc w:val="left"/>
        <w:rPr>
          <w:rFonts w:ascii="Cambria" w:hAnsi="Cambria"/>
          <w:lang w:val="en-GB"/>
        </w:rPr>
        <w:sectPr w:rsidR="001B323F" w:rsidRPr="00C243CD" w:rsidSect="00AC044E">
          <w:pgSz w:w="11906" w:h="16838"/>
          <w:pgMar w:top="2552" w:right="1440" w:bottom="1440" w:left="1440" w:header="708" w:footer="708" w:gutter="0"/>
          <w:cols w:space="708"/>
          <w:titlePg/>
          <w:docGrid w:linePitch="360"/>
        </w:sectPr>
      </w:pPr>
    </w:p>
    <w:p w14:paraId="59501B03" w14:textId="77777777" w:rsidR="00C8142A" w:rsidRPr="00C243CD" w:rsidRDefault="001B323F">
      <w:pPr>
        <w:spacing w:after="160" w:line="259" w:lineRule="auto"/>
        <w:jc w:val="left"/>
        <w:rPr>
          <w:rFonts w:ascii="Cambria" w:eastAsiaTheme="majorEastAsia" w:hAnsi="Cambria" w:cstheme="majorBidi"/>
          <w:sz w:val="24"/>
          <w:szCs w:val="24"/>
          <w:u w:val="single"/>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45" behindDoc="0" locked="0" layoutInCell="1" allowOverlap="1" wp14:anchorId="06088D10" wp14:editId="11184627">
                <wp:simplePos x="0" y="0"/>
                <wp:positionH relativeFrom="page">
                  <wp:align>center</wp:align>
                </wp:positionH>
                <wp:positionV relativeFrom="paragraph">
                  <wp:posOffset>568519</wp:posOffset>
                </wp:positionV>
                <wp:extent cx="9764202" cy="5959475"/>
                <wp:effectExtent l="0" t="0" r="27940" b="15875"/>
                <wp:wrapNone/>
                <wp:docPr id="23" name="Text Box 23"/>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AA476" w14:textId="77777777" w:rsidR="002D45CF" w:rsidRPr="006550F9" w:rsidRDefault="002D45CF" w:rsidP="001B323F">
                            <w:pPr>
                              <w:rPr>
                                <w:b/>
                                <w:lang w:val="en-GB"/>
                              </w:rPr>
                            </w:pPr>
                            <w:r>
                              <w:rPr>
                                <w:b/>
                                <w:lang w:val="en-GB"/>
                              </w:rPr>
                              <w:t>Simplified e</w:t>
                            </w:r>
                            <w:r w:rsidRPr="006550F9">
                              <w:rPr>
                                <w:b/>
                                <w:lang w:val="en-GB"/>
                              </w:rPr>
                              <w:t>xample</w:t>
                            </w:r>
                          </w:p>
                          <w:p w14:paraId="4FB3ECFA" w14:textId="77777777" w:rsidR="002D45CF" w:rsidRPr="006550F9" w:rsidRDefault="002D45CF" w:rsidP="001B323F">
                            <w:pPr>
                              <w:rPr>
                                <w:lang w:val="en-GB"/>
                              </w:rPr>
                            </w:pPr>
                          </w:p>
                          <w:p w14:paraId="44970FCE" w14:textId="0E96B52F" w:rsidR="002D45CF" w:rsidRDefault="002D45CF" w:rsidP="001B323F">
                            <w:pPr>
                              <w:rPr>
                                <w:lang w:val="en-GB"/>
                              </w:rPr>
                            </w:pPr>
                            <w:r>
                              <w:rPr>
                                <w:lang w:val="en-GB"/>
                              </w:rPr>
                              <w:t>The reporting institution has collected a term deposit from a corporate counterparty in Belgium on 1 December 2016, with an original contractual maturity on 3</w:t>
                            </w:r>
                            <w:r w:rsidR="001441CD">
                              <w:rPr>
                                <w:lang w:val="en-GB"/>
                              </w:rPr>
                              <w:t>0</w:t>
                            </w:r>
                            <w:r>
                              <w:rPr>
                                <w:lang w:val="en-GB"/>
                              </w:rPr>
                              <w:t xml:space="preserve"> November 2022, including an early reimbursement clause at the option of the depositor on 30 November 20</w:t>
                            </w:r>
                            <w:r w:rsidR="001441CD">
                              <w:rPr>
                                <w:lang w:val="en-GB"/>
                              </w:rPr>
                              <w:t>20</w:t>
                            </w:r>
                            <w:r w:rsidRPr="00247671">
                              <w:rPr>
                                <w:lang w:val="en-GB"/>
                              </w:rPr>
                              <w:t>.</w:t>
                            </w:r>
                            <w:r>
                              <w:rPr>
                                <w:lang w:val="en-GB"/>
                              </w:rPr>
                              <w:t xml:space="preserve"> The deposited amount is EUR 250 million with a yearly interest rate of 1%, with no intermediate interest payments. </w:t>
                            </w:r>
                            <w:r w:rsidRPr="00247671">
                              <w:rPr>
                                <w:lang w:val="en-GB"/>
                              </w:rPr>
                              <w:t xml:space="preserve">The applicable law of the deposit is the one of </w:t>
                            </w:r>
                            <w:r>
                              <w:rPr>
                                <w:lang w:val="en-GB"/>
                              </w:rPr>
                              <w:t>Belgium</w:t>
                            </w:r>
                            <w:r w:rsidRPr="00247671">
                              <w:rPr>
                                <w:lang w:val="en-GB"/>
                              </w:rPr>
                              <w:t>.</w:t>
                            </w:r>
                            <w:r>
                              <w:rPr>
                                <w:lang w:val="en-GB"/>
                              </w:rPr>
                              <w:t xml:space="preserve"> The insolvency ranking of the deposit under the law of the country where the reporting institution is incorporated is equal to 7.</w:t>
                            </w:r>
                          </w:p>
                          <w:p w14:paraId="72463BA2" w14:textId="77777777" w:rsidR="002D45CF" w:rsidRDefault="002D45CF" w:rsidP="00A10180">
                            <w:pPr>
                              <w:rPr>
                                <w:lang w:val="en-GB"/>
                              </w:rPr>
                            </w:pPr>
                          </w:p>
                          <w:p w14:paraId="0B6AA1FA" w14:textId="7852AA02" w:rsidR="002D45CF" w:rsidRDefault="002D45CF" w:rsidP="00A10180">
                            <w:pPr>
                              <w:rPr>
                                <w:lang w:val="en-GB"/>
                              </w:rPr>
                            </w:pPr>
                            <w:r>
                              <w:rPr>
                                <w:lang w:val="en-GB"/>
                              </w:rPr>
                              <w:t>As at 31 December 201</w:t>
                            </w:r>
                            <w:r w:rsidR="00F74C0E">
                              <w:rPr>
                                <w:lang w:val="en-GB"/>
                              </w:rPr>
                              <w:t>9</w:t>
                            </w:r>
                            <w:r>
                              <w:rPr>
                                <w:lang w:val="en-GB"/>
                              </w:rPr>
                              <w:t>, the entity should report this term deposit as follows:</w:t>
                            </w:r>
                          </w:p>
                          <w:p w14:paraId="14D4AB7F" w14:textId="77777777" w:rsidR="002D45CF" w:rsidRPr="006550F9" w:rsidRDefault="002D45CF" w:rsidP="001B323F">
                            <w:pPr>
                              <w:rPr>
                                <w:sz w:val="16"/>
                                <w:lang w:val="en-GB"/>
                              </w:rPr>
                            </w:pPr>
                          </w:p>
                          <w:p w14:paraId="37DE0D1A" w14:textId="0A84DC86" w:rsidR="002D45CF" w:rsidRDefault="001441CD" w:rsidP="001B323F">
                            <w:pPr>
                              <w:rPr>
                                <w:lang w:val="en-GB"/>
                              </w:rPr>
                            </w:pPr>
                            <w:r w:rsidRPr="001441CD">
                              <w:drawing>
                                <wp:inline distT="0" distB="0" distL="0" distR="0" wp14:anchorId="260CAEEA" wp14:editId="080AD5CE">
                                  <wp:extent cx="9575669" cy="1241946"/>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779975" cy="1268444"/>
                                          </a:xfrm>
                                          <a:prstGeom prst="rect">
                                            <a:avLst/>
                                          </a:prstGeom>
                                          <a:noFill/>
                                          <a:ln>
                                            <a:noFill/>
                                          </a:ln>
                                        </pic:spPr>
                                      </pic:pic>
                                    </a:graphicData>
                                  </a:graphic>
                                </wp:inline>
                              </w:drawing>
                            </w:r>
                          </w:p>
                          <w:p w14:paraId="5CA96C4B" w14:textId="77777777" w:rsidR="002D45CF" w:rsidRPr="006550F9" w:rsidRDefault="002D45CF" w:rsidP="001B323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088D10" id="Text Box 23" o:spid="_x0000_s1032" type="#_x0000_t202" style="position:absolute;margin-left:0;margin-top:44.75pt;width:768.85pt;height:469.25pt;z-index:25165824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" fillcolor="white [3201]" strokeweight=".5pt">
                <v:textbox style="mso-fit-shape-to-text:t">
                  <w:txbxContent>
                    <w:p w14:paraId="07EAA476" w14:textId="77777777" w:rsidR="002D45CF" w:rsidRPr="006550F9" w:rsidRDefault="002D45CF" w:rsidP="001B323F">
                      <w:pPr>
                        <w:rPr>
                          <w:b/>
                          <w:lang w:val="en-GB"/>
                        </w:rPr>
                      </w:pPr>
                      <w:r>
                        <w:rPr>
                          <w:b/>
                          <w:lang w:val="en-GB"/>
                        </w:rPr>
                        <w:t>Simplified e</w:t>
                      </w:r>
                      <w:r w:rsidRPr="006550F9">
                        <w:rPr>
                          <w:b/>
                          <w:lang w:val="en-GB"/>
                        </w:rPr>
                        <w:t>xample</w:t>
                      </w:r>
                    </w:p>
                    <w:p w14:paraId="4FB3ECFA" w14:textId="77777777" w:rsidR="002D45CF" w:rsidRPr="006550F9" w:rsidRDefault="002D45CF" w:rsidP="001B323F">
                      <w:pPr>
                        <w:rPr>
                          <w:lang w:val="en-GB"/>
                        </w:rPr>
                      </w:pPr>
                    </w:p>
                    <w:p w14:paraId="44970FCE" w14:textId="0E96B52F" w:rsidR="002D45CF" w:rsidRDefault="002D45CF" w:rsidP="001B323F">
                      <w:pPr>
                        <w:rPr>
                          <w:lang w:val="en-GB"/>
                        </w:rPr>
                      </w:pPr>
                      <w:r>
                        <w:rPr>
                          <w:lang w:val="en-GB"/>
                        </w:rPr>
                        <w:t>The reporting institution has collected a term deposit from a corporate counterparty in Belgium on 1 December 2016, with an original contractual maturity on 3</w:t>
                      </w:r>
                      <w:r w:rsidR="001441CD">
                        <w:rPr>
                          <w:lang w:val="en-GB"/>
                        </w:rPr>
                        <w:t>0</w:t>
                      </w:r>
                      <w:r>
                        <w:rPr>
                          <w:lang w:val="en-GB"/>
                        </w:rPr>
                        <w:t xml:space="preserve"> November 2022, including an early reimbursement clause at the option of the depositor on 30 November 20</w:t>
                      </w:r>
                      <w:r w:rsidR="001441CD">
                        <w:rPr>
                          <w:lang w:val="en-GB"/>
                        </w:rPr>
                        <w:t>20</w:t>
                      </w:r>
                      <w:r w:rsidRPr="00247671">
                        <w:rPr>
                          <w:lang w:val="en-GB"/>
                        </w:rPr>
                        <w:t>.</w:t>
                      </w:r>
                      <w:r>
                        <w:rPr>
                          <w:lang w:val="en-GB"/>
                        </w:rPr>
                        <w:t xml:space="preserve"> The deposited amount is EUR 250 million with a yearly interest rate of 1%, with no intermediate interest payments. </w:t>
                      </w:r>
                      <w:r w:rsidRPr="00247671">
                        <w:rPr>
                          <w:lang w:val="en-GB"/>
                        </w:rPr>
                        <w:t xml:space="preserve">The applicable law of the deposit is the one of </w:t>
                      </w:r>
                      <w:r>
                        <w:rPr>
                          <w:lang w:val="en-GB"/>
                        </w:rPr>
                        <w:t>Belgium</w:t>
                      </w:r>
                      <w:r w:rsidRPr="00247671">
                        <w:rPr>
                          <w:lang w:val="en-GB"/>
                        </w:rPr>
                        <w:t>.</w:t>
                      </w:r>
                      <w:r>
                        <w:rPr>
                          <w:lang w:val="en-GB"/>
                        </w:rPr>
                        <w:t xml:space="preserve"> The insolvency ranking of the deposit under the law of the country where the reporting institution is incorporated is equal to 7.</w:t>
                      </w:r>
                    </w:p>
                    <w:p w14:paraId="72463BA2" w14:textId="77777777" w:rsidR="002D45CF" w:rsidRDefault="002D45CF" w:rsidP="00A10180">
                      <w:pPr>
                        <w:rPr>
                          <w:lang w:val="en-GB"/>
                        </w:rPr>
                      </w:pPr>
                    </w:p>
                    <w:p w14:paraId="0B6AA1FA" w14:textId="7852AA02" w:rsidR="002D45CF" w:rsidRDefault="002D45CF" w:rsidP="00A10180">
                      <w:pPr>
                        <w:rPr>
                          <w:lang w:val="en-GB"/>
                        </w:rPr>
                      </w:pPr>
                      <w:r>
                        <w:rPr>
                          <w:lang w:val="en-GB"/>
                        </w:rPr>
                        <w:t>As at 31 December 201</w:t>
                      </w:r>
                      <w:r w:rsidR="00F74C0E">
                        <w:rPr>
                          <w:lang w:val="en-GB"/>
                        </w:rPr>
                        <w:t>9</w:t>
                      </w:r>
                      <w:r>
                        <w:rPr>
                          <w:lang w:val="en-GB"/>
                        </w:rPr>
                        <w:t>, the entity should report this term deposit as follows:</w:t>
                      </w:r>
                    </w:p>
                    <w:p w14:paraId="14D4AB7F" w14:textId="77777777" w:rsidR="002D45CF" w:rsidRPr="006550F9" w:rsidRDefault="002D45CF" w:rsidP="001B323F">
                      <w:pPr>
                        <w:rPr>
                          <w:sz w:val="16"/>
                          <w:lang w:val="en-GB"/>
                        </w:rPr>
                      </w:pPr>
                    </w:p>
                    <w:p w14:paraId="37DE0D1A" w14:textId="0A84DC86" w:rsidR="002D45CF" w:rsidRDefault="001441CD" w:rsidP="001B323F">
                      <w:pPr>
                        <w:rPr>
                          <w:lang w:val="en-GB"/>
                        </w:rPr>
                      </w:pPr>
                      <w:r w:rsidRPr="001441CD">
                        <w:drawing>
                          <wp:inline distT="0" distB="0" distL="0" distR="0" wp14:anchorId="260CAEEA" wp14:editId="080AD5CE">
                            <wp:extent cx="9575669" cy="1241946"/>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779975" cy="1268444"/>
                                    </a:xfrm>
                                    <a:prstGeom prst="rect">
                                      <a:avLst/>
                                    </a:prstGeom>
                                    <a:noFill/>
                                    <a:ln>
                                      <a:noFill/>
                                    </a:ln>
                                  </pic:spPr>
                                </pic:pic>
                              </a:graphicData>
                            </a:graphic>
                          </wp:inline>
                        </w:drawing>
                      </w:r>
                    </w:p>
                    <w:p w14:paraId="5CA96C4B" w14:textId="77777777" w:rsidR="002D45CF" w:rsidRPr="006550F9" w:rsidRDefault="002D45CF" w:rsidP="001B323F">
                      <w:pPr>
                        <w:rPr>
                          <w:lang w:val="en-GB"/>
                        </w:rPr>
                      </w:pPr>
                    </w:p>
                  </w:txbxContent>
                </v:textbox>
                <w10:wrap anchorx="page"/>
              </v:shape>
            </w:pict>
          </mc:Fallback>
        </mc:AlternateContent>
      </w:r>
      <w:r w:rsidR="00C8142A" w:rsidRPr="00C243CD">
        <w:rPr>
          <w:rFonts w:ascii="Cambria" w:hAnsi="Cambria"/>
          <w:lang w:val="en-GB"/>
        </w:rPr>
        <w:br w:type="page"/>
      </w:r>
    </w:p>
    <w:p w14:paraId="7129163B" w14:textId="1BBC8B55" w:rsidR="001B323F" w:rsidRDefault="001B323F" w:rsidP="00F74C0E">
      <w:pPr>
        <w:pStyle w:val="Heading3"/>
        <w:rPr>
          <w:rFonts w:ascii="Cambria" w:hAnsi="Cambria"/>
          <w:lang w:val="en-GB"/>
        </w:rPr>
      </w:pPr>
    </w:p>
    <w:p w14:paraId="02E10946" w14:textId="2B39F367" w:rsidR="00F74C0E" w:rsidRPr="00F74C0E" w:rsidRDefault="00F74C0E" w:rsidP="00F74C0E">
      <w:pPr>
        <w:rPr>
          <w:lang w:val="en-GB"/>
        </w:rPr>
        <w:sectPr w:rsidR="00F74C0E" w:rsidRPr="00F74C0E" w:rsidSect="006550F9">
          <w:pgSz w:w="16838" w:h="11906" w:orient="landscape"/>
          <w:pgMar w:top="1440" w:right="2552" w:bottom="1440" w:left="1440" w:header="709" w:footer="709" w:gutter="0"/>
          <w:cols w:space="708"/>
          <w:titlePg/>
          <w:docGrid w:linePitch="360"/>
        </w:sectPr>
      </w:pPr>
      <w:r w:rsidRPr="00C243CD">
        <w:rPr>
          <w:rFonts w:ascii="Cambria" w:hAnsi="Cambria"/>
          <w:noProof/>
          <w:lang w:val="en-GB" w:eastAsia="en-GB"/>
        </w:rPr>
        <mc:AlternateContent>
          <mc:Choice Requires="wps">
            <w:drawing>
              <wp:anchor distT="0" distB="0" distL="114300" distR="114300" simplePos="0" relativeHeight="251660302" behindDoc="0" locked="0" layoutInCell="1" allowOverlap="1" wp14:anchorId="213E067E" wp14:editId="7A2759DE">
                <wp:simplePos x="0" y="0"/>
                <wp:positionH relativeFrom="page">
                  <wp:posOffset>696035</wp:posOffset>
                </wp:positionH>
                <wp:positionV relativeFrom="paragraph">
                  <wp:posOffset>551218</wp:posOffset>
                </wp:positionV>
                <wp:extent cx="9764202" cy="5959475"/>
                <wp:effectExtent l="0" t="0" r="27940" b="15875"/>
                <wp:wrapNone/>
                <wp:docPr id="74" name="Text Box 74"/>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F1C21" w14:textId="77777777" w:rsidR="00F74C0E" w:rsidRPr="006550F9" w:rsidRDefault="00F74C0E" w:rsidP="00F74C0E">
                            <w:pPr>
                              <w:rPr>
                                <w:b/>
                                <w:lang w:val="en-GB"/>
                              </w:rPr>
                            </w:pPr>
                            <w:r>
                              <w:rPr>
                                <w:b/>
                                <w:lang w:val="en-GB"/>
                              </w:rPr>
                              <w:t>Simplified e</w:t>
                            </w:r>
                            <w:r w:rsidRPr="006550F9">
                              <w:rPr>
                                <w:b/>
                                <w:lang w:val="en-GB"/>
                              </w:rPr>
                              <w:t>xample</w:t>
                            </w:r>
                          </w:p>
                          <w:p w14:paraId="5DF6D549" w14:textId="77777777" w:rsidR="00F74C0E" w:rsidRPr="006550F9" w:rsidRDefault="00F74C0E" w:rsidP="00F74C0E">
                            <w:pPr>
                              <w:rPr>
                                <w:lang w:val="en-GB"/>
                              </w:rPr>
                            </w:pPr>
                          </w:p>
                          <w:p w14:paraId="61612D4E" w14:textId="78E2A55F" w:rsidR="00F74C0E" w:rsidRDefault="00F74C0E" w:rsidP="00F74C0E">
                            <w:pPr>
                              <w:rPr>
                                <w:lang w:val="en-GB"/>
                              </w:rPr>
                            </w:pPr>
                            <w:r>
                              <w:rPr>
                                <w:lang w:val="en-GB"/>
                              </w:rPr>
                              <w:t xml:space="preserve">The reporting entity has </w:t>
                            </w:r>
                            <w:r w:rsidR="006F36F5">
                              <w:rPr>
                                <w:lang w:val="en-GB"/>
                              </w:rPr>
                              <w:t xml:space="preserve">reported </w:t>
                            </w:r>
                            <w:r>
                              <w:rPr>
                                <w:lang w:val="en-GB"/>
                              </w:rPr>
                              <w:t xml:space="preserve">covered deposits of EUR </w:t>
                            </w:r>
                            <w:r w:rsidR="006F36F5">
                              <w:rPr>
                                <w:lang w:val="en-GB"/>
                              </w:rPr>
                              <w:t>1,</w:t>
                            </w:r>
                            <w:r>
                              <w:rPr>
                                <w:lang w:val="en-GB"/>
                              </w:rPr>
                              <w:t>850 million</w:t>
                            </w:r>
                            <w:r w:rsidR="006F36F5">
                              <w:rPr>
                                <w:lang w:val="en-GB"/>
                              </w:rPr>
                              <w:t xml:space="preserve"> in T01.00 r0110</w:t>
                            </w:r>
                            <w:r>
                              <w:rPr>
                                <w:lang w:val="en-GB"/>
                              </w:rPr>
                              <w:t xml:space="preserve">, of which EUR </w:t>
                            </w:r>
                            <w:r w:rsidR="006F36F5">
                              <w:rPr>
                                <w:lang w:val="en-GB"/>
                              </w:rPr>
                              <w:t>1,55</w:t>
                            </w:r>
                            <w:r>
                              <w:rPr>
                                <w:lang w:val="en-GB"/>
                              </w:rPr>
                              <w:t xml:space="preserve">0million deposited by Households and EUR </w:t>
                            </w:r>
                            <w:r w:rsidR="006F36F5">
                              <w:rPr>
                                <w:lang w:val="en-GB"/>
                              </w:rPr>
                              <w:t>3</w:t>
                            </w:r>
                            <w:r>
                              <w:rPr>
                                <w:lang w:val="en-GB"/>
                              </w:rPr>
                              <w:t xml:space="preserve">00 million deposited by SMEs. </w:t>
                            </w:r>
                            <w:r w:rsidR="006F36F5">
                              <w:rPr>
                                <w:lang w:val="en-GB"/>
                              </w:rPr>
                              <w:t xml:space="preserve">The </w:t>
                            </w:r>
                            <w:r w:rsidR="00270221">
                              <w:rPr>
                                <w:lang w:val="en-GB"/>
                              </w:rPr>
                              <w:t xml:space="preserve">governing law for these claims is Germany and the </w:t>
                            </w:r>
                            <w:r w:rsidR="006F36F5">
                              <w:rPr>
                                <w:lang w:val="en-GB"/>
                              </w:rPr>
                              <w:t xml:space="preserve">insolvency ranking is </w:t>
                            </w:r>
                            <w:r w:rsidR="00270221">
                              <w:rPr>
                                <w:lang w:val="en-GB"/>
                              </w:rPr>
                              <w:t>14</w:t>
                            </w:r>
                            <w:r w:rsidR="006F36F5">
                              <w:rPr>
                                <w:lang w:val="en-GB"/>
                              </w:rPr>
                              <w:t>.</w:t>
                            </w:r>
                          </w:p>
                          <w:p w14:paraId="6813F6BB" w14:textId="0EED7E28" w:rsidR="00F74C0E" w:rsidRDefault="00D944E4" w:rsidP="00F74C0E">
                            <w:pPr>
                              <w:rPr>
                                <w:lang w:val="en-GB"/>
                              </w:rPr>
                            </w:pPr>
                            <w:r>
                              <w:rPr>
                                <w:lang w:val="en-GB"/>
                              </w:rPr>
                              <w:t>As the deposits are grouped, and the “Earliest Redemption Date” is mandatory, a default date of 2199-12-31 should be used.</w:t>
                            </w:r>
                          </w:p>
                          <w:p w14:paraId="480D8EA3" w14:textId="77777777" w:rsidR="00D944E4" w:rsidRDefault="00D944E4" w:rsidP="00F74C0E">
                            <w:pPr>
                              <w:rPr>
                                <w:lang w:val="en-GB"/>
                              </w:rPr>
                            </w:pPr>
                          </w:p>
                          <w:p w14:paraId="60ED4544" w14:textId="22FBFA93" w:rsidR="00F74C0E" w:rsidRDefault="00F74C0E" w:rsidP="00F74C0E">
                            <w:pPr>
                              <w:rPr>
                                <w:lang w:val="en-GB"/>
                              </w:rPr>
                            </w:pPr>
                            <w:r>
                              <w:rPr>
                                <w:lang w:val="en-GB"/>
                              </w:rPr>
                              <w:t xml:space="preserve">As at 31 December 2019, the entity should report </w:t>
                            </w:r>
                            <w:r>
                              <w:rPr>
                                <w:lang w:val="en-GB"/>
                              </w:rPr>
                              <w:t>these covered</w:t>
                            </w:r>
                            <w:r>
                              <w:rPr>
                                <w:lang w:val="en-GB"/>
                              </w:rPr>
                              <w:t xml:space="preserve"> deposit</w:t>
                            </w:r>
                            <w:r>
                              <w:rPr>
                                <w:lang w:val="en-GB"/>
                              </w:rPr>
                              <w:t>s</w:t>
                            </w:r>
                            <w:r>
                              <w:rPr>
                                <w:lang w:val="en-GB"/>
                              </w:rPr>
                              <w:t xml:space="preserve"> as follows:</w:t>
                            </w:r>
                          </w:p>
                          <w:p w14:paraId="098719AC" w14:textId="77777777" w:rsidR="00F74C0E" w:rsidRPr="006550F9" w:rsidRDefault="00F74C0E" w:rsidP="00F74C0E">
                            <w:pPr>
                              <w:rPr>
                                <w:sz w:val="16"/>
                                <w:lang w:val="en-GB"/>
                              </w:rPr>
                            </w:pPr>
                          </w:p>
                          <w:p w14:paraId="1DFCA0F6" w14:textId="1CF78C13" w:rsidR="00F74C0E" w:rsidRDefault="00CD531F" w:rsidP="00F74C0E">
                            <w:pPr>
                              <w:rPr>
                                <w:lang w:val="en-GB"/>
                              </w:rPr>
                            </w:pPr>
                            <w:r w:rsidRPr="00CD531F">
                              <w:drawing>
                                <wp:inline distT="0" distB="0" distL="0" distR="0" wp14:anchorId="5FC57411" wp14:editId="20150CC5">
                                  <wp:extent cx="9571381" cy="1405719"/>
                                  <wp:effectExtent l="0" t="0" r="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617404" cy="1412478"/>
                                          </a:xfrm>
                                          <a:prstGeom prst="rect">
                                            <a:avLst/>
                                          </a:prstGeom>
                                          <a:noFill/>
                                          <a:ln>
                                            <a:noFill/>
                                          </a:ln>
                                        </pic:spPr>
                                      </pic:pic>
                                    </a:graphicData>
                                  </a:graphic>
                                </wp:inline>
                              </w:drawing>
                            </w:r>
                          </w:p>
                          <w:p w14:paraId="7FB7AD65" w14:textId="0543B7C0" w:rsidR="00F74C0E" w:rsidRDefault="00F74C0E" w:rsidP="00F74C0E">
                            <w:pPr>
                              <w:rPr>
                                <w:lang w:val="en-GB"/>
                              </w:rPr>
                            </w:pPr>
                          </w:p>
                          <w:p w14:paraId="11ECEC23" w14:textId="7F7EA7B7" w:rsidR="006F36F5" w:rsidRPr="006550F9" w:rsidRDefault="006F36F5" w:rsidP="00F74C0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3E067E" id="Text Box 74" o:spid="_x0000_s1033" type="#_x0000_t202" style="position:absolute;left:0;text-align:left;margin-left:54.8pt;margin-top:43.4pt;width:768.85pt;height:469.25pt;z-index:251660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" fillcolor="white [3201]" strokeweight=".5pt">
                <v:textbox style="mso-fit-shape-to-text:t">
                  <w:txbxContent>
                    <w:p w14:paraId="084F1C21" w14:textId="77777777" w:rsidR="00F74C0E" w:rsidRPr="006550F9" w:rsidRDefault="00F74C0E" w:rsidP="00F74C0E">
                      <w:pPr>
                        <w:rPr>
                          <w:b/>
                          <w:lang w:val="en-GB"/>
                        </w:rPr>
                      </w:pPr>
                      <w:r>
                        <w:rPr>
                          <w:b/>
                          <w:lang w:val="en-GB"/>
                        </w:rPr>
                        <w:t>Simplified e</w:t>
                      </w:r>
                      <w:r w:rsidRPr="006550F9">
                        <w:rPr>
                          <w:b/>
                          <w:lang w:val="en-GB"/>
                        </w:rPr>
                        <w:t>xample</w:t>
                      </w:r>
                    </w:p>
                    <w:p w14:paraId="5DF6D549" w14:textId="77777777" w:rsidR="00F74C0E" w:rsidRPr="006550F9" w:rsidRDefault="00F74C0E" w:rsidP="00F74C0E">
                      <w:pPr>
                        <w:rPr>
                          <w:lang w:val="en-GB"/>
                        </w:rPr>
                      </w:pPr>
                    </w:p>
                    <w:p w14:paraId="61612D4E" w14:textId="78E2A55F" w:rsidR="00F74C0E" w:rsidRDefault="00F74C0E" w:rsidP="00F74C0E">
                      <w:pPr>
                        <w:rPr>
                          <w:lang w:val="en-GB"/>
                        </w:rPr>
                      </w:pPr>
                      <w:r>
                        <w:rPr>
                          <w:lang w:val="en-GB"/>
                        </w:rPr>
                        <w:t xml:space="preserve">The reporting entity has </w:t>
                      </w:r>
                      <w:r w:rsidR="006F36F5">
                        <w:rPr>
                          <w:lang w:val="en-GB"/>
                        </w:rPr>
                        <w:t xml:space="preserve">reported </w:t>
                      </w:r>
                      <w:r>
                        <w:rPr>
                          <w:lang w:val="en-GB"/>
                        </w:rPr>
                        <w:t xml:space="preserve">covered deposits of EUR </w:t>
                      </w:r>
                      <w:r w:rsidR="006F36F5">
                        <w:rPr>
                          <w:lang w:val="en-GB"/>
                        </w:rPr>
                        <w:t>1,</w:t>
                      </w:r>
                      <w:r>
                        <w:rPr>
                          <w:lang w:val="en-GB"/>
                        </w:rPr>
                        <w:t>850 million</w:t>
                      </w:r>
                      <w:r w:rsidR="006F36F5">
                        <w:rPr>
                          <w:lang w:val="en-GB"/>
                        </w:rPr>
                        <w:t xml:space="preserve"> in T01.00 r0110</w:t>
                      </w:r>
                      <w:r>
                        <w:rPr>
                          <w:lang w:val="en-GB"/>
                        </w:rPr>
                        <w:t xml:space="preserve">, of which EUR </w:t>
                      </w:r>
                      <w:r w:rsidR="006F36F5">
                        <w:rPr>
                          <w:lang w:val="en-GB"/>
                        </w:rPr>
                        <w:t>1,55</w:t>
                      </w:r>
                      <w:r>
                        <w:rPr>
                          <w:lang w:val="en-GB"/>
                        </w:rPr>
                        <w:t xml:space="preserve">0million deposited by Households and EUR </w:t>
                      </w:r>
                      <w:r w:rsidR="006F36F5">
                        <w:rPr>
                          <w:lang w:val="en-GB"/>
                        </w:rPr>
                        <w:t>3</w:t>
                      </w:r>
                      <w:r>
                        <w:rPr>
                          <w:lang w:val="en-GB"/>
                        </w:rPr>
                        <w:t xml:space="preserve">00 million deposited by SMEs. </w:t>
                      </w:r>
                      <w:r w:rsidR="006F36F5">
                        <w:rPr>
                          <w:lang w:val="en-GB"/>
                        </w:rPr>
                        <w:t xml:space="preserve">The </w:t>
                      </w:r>
                      <w:r w:rsidR="00270221">
                        <w:rPr>
                          <w:lang w:val="en-GB"/>
                        </w:rPr>
                        <w:t xml:space="preserve">governing law for these claims is Germany and the </w:t>
                      </w:r>
                      <w:r w:rsidR="006F36F5">
                        <w:rPr>
                          <w:lang w:val="en-GB"/>
                        </w:rPr>
                        <w:t xml:space="preserve">insolvency ranking is </w:t>
                      </w:r>
                      <w:r w:rsidR="00270221">
                        <w:rPr>
                          <w:lang w:val="en-GB"/>
                        </w:rPr>
                        <w:t>14</w:t>
                      </w:r>
                      <w:r w:rsidR="006F36F5">
                        <w:rPr>
                          <w:lang w:val="en-GB"/>
                        </w:rPr>
                        <w:t>.</w:t>
                      </w:r>
                    </w:p>
                    <w:p w14:paraId="6813F6BB" w14:textId="0EED7E28" w:rsidR="00F74C0E" w:rsidRDefault="00D944E4" w:rsidP="00F74C0E">
                      <w:pPr>
                        <w:rPr>
                          <w:lang w:val="en-GB"/>
                        </w:rPr>
                      </w:pPr>
                      <w:r>
                        <w:rPr>
                          <w:lang w:val="en-GB"/>
                        </w:rPr>
                        <w:t>As the deposits are grouped, and the “Earliest Redemption Date” is mandatory, a default date of 2199-12-31 should be used.</w:t>
                      </w:r>
                    </w:p>
                    <w:p w14:paraId="480D8EA3" w14:textId="77777777" w:rsidR="00D944E4" w:rsidRDefault="00D944E4" w:rsidP="00F74C0E">
                      <w:pPr>
                        <w:rPr>
                          <w:lang w:val="en-GB"/>
                        </w:rPr>
                      </w:pPr>
                    </w:p>
                    <w:p w14:paraId="60ED4544" w14:textId="22FBFA93" w:rsidR="00F74C0E" w:rsidRDefault="00F74C0E" w:rsidP="00F74C0E">
                      <w:pPr>
                        <w:rPr>
                          <w:lang w:val="en-GB"/>
                        </w:rPr>
                      </w:pPr>
                      <w:r>
                        <w:rPr>
                          <w:lang w:val="en-GB"/>
                        </w:rPr>
                        <w:t xml:space="preserve">As at 31 December 2019, the entity should report </w:t>
                      </w:r>
                      <w:r>
                        <w:rPr>
                          <w:lang w:val="en-GB"/>
                        </w:rPr>
                        <w:t>these covered</w:t>
                      </w:r>
                      <w:r>
                        <w:rPr>
                          <w:lang w:val="en-GB"/>
                        </w:rPr>
                        <w:t xml:space="preserve"> deposit</w:t>
                      </w:r>
                      <w:r>
                        <w:rPr>
                          <w:lang w:val="en-GB"/>
                        </w:rPr>
                        <w:t>s</w:t>
                      </w:r>
                      <w:r>
                        <w:rPr>
                          <w:lang w:val="en-GB"/>
                        </w:rPr>
                        <w:t xml:space="preserve"> as follows:</w:t>
                      </w:r>
                    </w:p>
                    <w:p w14:paraId="098719AC" w14:textId="77777777" w:rsidR="00F74C0E" w:rsidRPr="006550F9" w:rsidRDefault="00F74C0E" w:rsidP="00F74C0E">
                      <w:pPr>
                        <w:rPr>
                          <w:sz w:val="16"/>
                          <w:lang w:val="en-GB"/>
                        </w:rPr>
                      </w:pPr>
                    </w:p>
                    <w:p w14:paraId="1DFCA0F6" w14:textId="1CF78C13" w:rsidR="00F74C0E" w:rsidRDefault="00CD531F" w:rsidP="00F74C0E">
                      <w:pPr>
                        <w:rPr>
                          <w:lang w:val="en-GB"/>
                        </w:rPr>
                      </w:pPr>
                      <w:r w:rsidRPr="00CD531F">
                        <w:drawing>
                          <wp:inline distT="0" distB="0" distL="0" distR="0" wp14:anchorId="5FC57411" wp14:editId="20150CC5">
                            <wp:extent cx="9571381" cy="1405719"/>
                            <wp:effectExtent l="0" t="0" r="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617404" cy="1412478"/>
                                    </a:xfrm>
                                    <a:prstGeom prst="rect">
                                      <a:avLst/>
                                    </a:prstGeom>
                                    <a:noFill/>
                                    <a:ln>
                                      <a:noFill/>
                                    </a:ln>
                                  </pic:spPr>
                                </pic:pic>
                              </a:graphicData>
                            </a:graphic>
                          </wp:inline>
                        </w:drawing>
                      </w:r>
                    </w:p>
                    <w:p w14:paraId="7FB7AD65" w14:textId="0543B7C0" w:rsidR="00F74C0E" w:rsidRDefault="00F74C0E" w:rsidP="00F74C0E">
                      <w:pPr>
                        <w:rPr>
                          <w:lang w:val="en-GB"/>
                        </w:rPr>
                      </w:pPr>
                    </w:p>
                    <w:p w14:paraId="11ECEC23" w14:textId="7F7EA7B7" w:rsidR="006F36F5" w:rsidRPr="006550F9" w:rsidRDefault="006F36F5" w:rsidP="00F74C0E">
                      <w:pPr>
                        <w:rPr>
                          <w:lang w:val="en-GB"/>
                        </w:rPr>
                      </w:pPr>
                    </w:p>
                  </w:txbxContent>
                </v:textbox>
                <w10:wrap anchorx="page"/>
              </v:shape>
            </w:pict>
          </mc:Fallback>
        </mc:AlternateContent>
      </w:r>
    </w:p>
    <w:p w14:paraId="5046D4F6" w14:textId="6C094E7F" w:rsidR="002B5DBA" w:rsidRPr="00C243CD" w:rsidRDefault="001D45ED" w:rsidP="00EA0B77">
      <w:pPr>
        <w:pStyle w:val="Heading3"/>
        <w:numPr>
          <w:ilvl w:val="0"/>
          <w:numId w:val="22"/>
        </w:numPr>
        <w:ind w:left="0" w:firstLine="0"/>
        <w:rPr>
          <w:rFonts w:ascii="Cambria" w:hAnsi="Cambria"/>
          <w:lang w:val="en-GB"/>
        </w:rPr>
      </w:pPr>
      <w:bookmarkStart w:id="213" w:name="_Toc12973029"/>
      <w:bookmarkStart w:id="214" w:name="_Toc13755759"/>
      <w:r>
        <w:rPr>
          <w:rFonts w:ascii="Cambria" w:hAnsi="Cambria"/>
          <w:lang w:val="en-GB"/>
        </w:rPr>
        <w:lastRenderedPageBreak/>
        <w:t>T06.01</w:t>
      </w:r>
      <w:r w:rsidR="009202A4" w:rsidRPr="00C243CD">
        <w:rPr>
          <w:rFonts w:ascii="Cambria" w:hAnsi="Cambria"/>
          <w:lang w:val="en-GB"/>
        </w:rPr>
        <w:t xml:space="preserve"> - </w:t>
      </w:r>
      <w:r w:rsidR="00540DC7" w:rsidRPr="00C243CD">
        <w:rPr>
          <w:rFonts w:ascii="Cambria" w:hAnsi="Cambria"/>
          <w:lang w:val="en-GB"/>
        </w:rPr>
        <w:t>Other Financial Liabilities (not included in other tabs, excluding intragroup)</w:t>
      </w:r>
      <w:bookmarkEnd w:id="213"/>
      <w:bookmarkEnd w:id="214"/>
    </w:p>
    <w:p w14:paraId="4B2B6E1B" w14:textId="165B3340" w:rsidR="006F36F5" w:rsidRPr="00C243CD" w:rsidRDefault="00F36C80" w:rsidP="007025A8">
      <w:pPr>
        <w:rPr>
          <w:rFonts w:ascii="Cambria" w:hAnsi="Cambria"/>
          <w:lang w:val="en-GB"/>
        </w:rPr>
      </w:pPr>
      <w:r w:rsidRPr="00C243CD">
        <w:rPr>
          <w:rFonts w:ascii="Cambria" w:hAnsi="Cambria"/>
          <w:lang w:val="en-GB"/>
        </w:rPr>
        <w:t xml:space="preserve">This table covers all </w:t>
      </w:r>
      <w:r w:rsidR="00882E08" w:rsidRPr="00C243CD">
        <w:rPr>
          <w:rFonts w:ascii="Cambria" w:hAnsi="Cambria"/>
          <w:lang w:val="en-GB"/>
        </w:rPr>
        <w:t>the liabilities</w:t>
      </w:r>
      <w:r w:rsidR="00F17C2C" w:rsidRPr="00C243CD">
        <w:rPr>
          <w:rFonts w:ascii="Cambria" w:hAnsi="Cambria"/>
          <w:lang w:val="en-GB"/>
        </w:rPr>
        <w:t xml:space="preserve">, excluding </w:t>
      </w:r>
      <w:r w:rsidR="00E3480A" w:rsidRPr="00C243CD">
        <w:rPr>
          <w:rFonts w:ascii="Cambria" w:hAnsi="Cambria"/>
          <w:lang w:val="en-GB"/>
        </w:rPr>
        <w:t xml:space="preserve">all </w:t>
      </w:r>
      <w:r w:rsidR="00AF1B59" w:rsidRPr="00C243CD">
        <w:rPr>
          <w:rFonts w:ascii="Cambria" w:hAnsi="Cambria"/>
          <w:lang w:val="en-GB"/>
        </w:rPr>
        <w:t>type</w:t>
      </w:r>
      <w:r w:rsidR="00E3480A" w:rsidRPr="00C243CD">
        <w:rPr>
          <w:rFonts w:ascii="Cambria" w:hAnsi="Cambria"/>
          <w:lang w:val="en-GB"/>
        </w:rPr>
        <w:t>s</w:t>
      </w:r>
      <w:r w:rsidR="00AF1B59" w:rsidRPr="00C243CD">
        <w:rPr>
          <w:rFonts w:ascii="Cambria" w:hAnsi="Cambria"/>
          <w:lang w:val="en-GB"/>
        </w:rPr>
        <w:t xml:space="preserve"> of </w:t>
      </w:r>
      <w:r w:rsidR="00F17C2C" w:rsidRPr="00C243CD">
        <w:rPr>
          <w:rFonts w:ascii="Cambria" w:hAnsi="Cambria"/>
          <w:lang w:val="en-GB"/>
        </w:rPr>
        <w:t>deposits</w:t>
      </w:r>
      <w:r w:rsidR="00E3480A" w:rsidRPr="00C243CD">
        <w:rPr>
          <w:rFonts w:ascii="Cambria" w:hAnsi="Cambria"/>
          <w:lang w:val="en-GB"/>
        </w:rPr>
        <w:t xml:space="preserve"> (covered, preferred or other)</w:t>
      </w:r>
      <w:r w:rsidR="00F17C2C" w:rsidRPr="00C243CD">
        <w:rPr>
          <w:rFonts w:ascii="Cambria" w:hAnsi="Cambria"/>
          <w:lang w:val="en-GB"/>
        </w:rPr>
        <w:t>,</w:t>
      </w:r>
      <w:r w:rsidR="00882E08" w:rsidRPr="00C243CD">
        <w:rPr>
          <w:rFonts w:ascii="Cambria" w:hAnsi="Cambria"/>
          <w:lang w:val="en-GB"/>
        </w:rPr>
        <w:t xml:space="preserve"> that are not </w:t>
      </w:r>
      <w:r w:rsidRPr="00C243CD">
        <w:rPr>
          <w:rFonts w:ascii="Cambria" w:hAnsi="Cambria"/>
          <w:lang w:val="en-GB"/>
        </w:rPr>
        <w:t>reported in</w:t>
      </w:r>
      <w:r w:rsidR="00882E08" w:rsidRPr="00C243CD">
        <w:rPr>
          <w:rFonts w:ascii="Cambria" w:hAnsi="Cambria"/>
          <w:lang w:val="en-GB"/>
        </w:rPr>
        <w:t xml:space="preserve"> any of the other detailed information requirements (i.e. </w:t>
      </w:r>
      <w:r w:rsidRPr="00C243CD">
        <w:rPr>
          <w:rFonts w:ascii="Cambria" w:hAnsi="Cambria"/>
          <w:lang w:val="en-GB"/>
        </w:rPr>
        <w:t xml:space="preserve">T03.01, </w:t>
      </w:r>
      <w:r w:rsidR="00882E08" w:rsidRPr="00C243CD">
        <w:rPr>
          <w:rFonts w:ascii="Cambria" w:hAnsi="Cambria"/>
          <w:lang w:val="en-GB"/>
        </w:rPr>
        <w:t>T04.00</w:t>
      </w:r>
      <w:r w:rsidRPr="00C243CD">
        <w:rPr>
          <w:rFonts w:ascii="Cambria" w:hAnsi="Cambria"/>
          <w:lang w:val="en-GB"/>
        </w:rPr>
        <w:t>,</w:t>
      </w:r>
      <w:r w:rsidR="00882E08" w:rsidRPr="00C243CD">
        <w:rPr>
          <w:rFonts w:ascii="Cambria" w:hAnsi="Cambria"/>
          <w:lang w:val="en-GB"/>
        </w:rPr>
        <w:t xml:space="preserve"> T05.00</w:t>
      </w:r>
      <w:r w:rsidRPr="00C243CD">
        <w:rPr>
          <w:rFonts w:ascii="Cambria" w:hAnsi="Cambria"/>
          <w:lang w:val="en-GB"/>
        </w:rPr>
        <w:t>, T07.00</w:t>
      </w:r>
      <w:r w:rsidR="00FD7424">
        <w:rPr>
          <w:rFonts w:ascii="Cambria" w:hAnsi="Cambria"/>
          <w:lang w:val="en-GB"/>
        </w:rPr>
        <w:t>, T08.00</w:t>
      </w:r>
      <w:r w:rsidRPr="00C243CD">
        <w:rPr>
          <w:rFonts w:ascii="Cambria" w:hAnsi="Cambria"/>
          <w:lang w:val="en-GB"/>
        </w:rPr>
        <w:t xml:space="preserve"> and T0</w:t>
      </w:r>
      <w:r w:rsidR="00FD7424">
        <w:rPr>
          <w:rFonts w:ascii="Cambria" w:hAnsi="Cambria"/>
          <w:lang w:val="en-GB"/>
        </w:rPr>
        <w:t>9</w:t>
      </w:r>
      <w:r w:rsidRPr="00C243CD">
        <w:rPr>
          <w:rFonts w:ascii="Cambria" w:hAnsi="Cambria"/>
          <w:lang w:val="en-GB"/>
        </w:rPr>
        <w:t>.00</w:t>
      </w:r>
      <w:r w:rsidR="00882E08" w:rsidRPr="00C243CD">
        <w:rPr>
          <w:rFonts w:ascii="Cambria" w:hAnsi="Cambria"/>
          <w:lang w:val="en-GB"/>
        </w:rPr>
        <w:t>), such as loans for example</w:t>
      </w:r>
      <w:r w:rsidRPr="00C243CD">
        <w:rPr>
          <w:rFonts w:ascii="Cambria" w:hAnsi="Cambria"/>
          <w:lang w:val="en-GB"/>
        </w:rPr>
        <w:t>, but also operational liabilities,</w:t>
      </w:r>
      <w:r w:rsidR="0077036D" w:rsidRPr="00C243CD">
        <w:rPr>
          <w:rFonts w:ascii="Cambria" w:hAnsi="Cambria"/>
          <w:lang w:val="en-GB"/>
        </w:rPr>
        <w:t xml:space="preserve"> </w:t>
      </w:r>
      <w:r w:rsidR="00910B58">
        <w:rPr>
          <w:rFonts w:ascii="Cambria" w:hAnsi="Cambria"/>
          <w:lang w:val="en-GB"/>
        </w:rPr>
        <w:t>liabilities towards clearinghouses,</w:t>
      </w:r>
      <w:r w:rsidRPr="00C243CD">
        <w:rPr>
          <w:rFonts w:ascii="Cambria" w:hAnsi="Cambria"/>
          <w:lang w:val="en-GB"/>
        </w:rPr>
        <w:t xml:space="preserve"> etc.</w:t>
      </w:r>
    </w:p>
    <w:p w14:paraId="5C54A794" w14:textId="257A4271" w:rsidR="00882E08" w:rsidRPr="00C243CD" w:rsidRDefault="00DA3B8D" w:rsidP="007025A8">
      <w:pPr>
        <w:rPr>
          <w:rFonts w:ascii="Cambria" w:hAnsi="Cambria"/>
          <w:lang w:val="en-GB"/>
        </w:rPr>
      </w:pPr>
      <w:r w:rsidRPr="00C243CD">
        <w:rPr>
          <w:rFonts w:ascii="Cambria" w:hAnsi="Cambria"/>
          <w:lang w:val="en-GB"/>
        </w:rPr>
        <w:t>Where liabilities such as employees are concerned, these should be grouped by type and insolvency ranking</w:t>
      </w:r>
      <w:r w:rsidR="00B276BF" w:rsidRPr="00C243CD">
        <w:rPr>
          <w:rFonts w:ascii="Cambria" w:hAnsi="Cambria"/>
          <w:lang w:val="en-GB"/>
        </w:rPr>
        <w:t xml:space="preserve">. </w:t>
      </w:r>
      <w:r w:rsidR="00F63EC4" w:rsidRPr="00C243CD">
        <w:rPr>
          <w:rFonts w:ascii="Cambria" w:hAnsi="Cambria"/>
          <w:lang w:val="en-GB"/>
        </w:rPr>
        <w:t>All c</w:t>
      </w:r>
      <w:r w:rsidR="00B276BF" w:rsidRPr="00C243CD">
        <w:rPr>
          <w:rFonts w:ascii="Cambria" w:hAnsi="Cambria"/>
          <w:lang w:val="en-GB"/>
        </w:rPr>
        <w:t xml:space="preserve">ells which are not applicable </w:t>
      </w:r>
      <w:r w:rsidR="00F63EC4" w:rsidRPr="00C243CD">
        <w:rPr>
          <w:rFonts w:ascii="Cambria" w:hAnsi="Cambria"/>
          <w:lang w:val="en-GB"/>
        </w:rPr>
        <w:t xml:space="preserve">(e.g. accrued interest, current interest rate, issuance date, etc.) </w:t>
      </w:r>
      <w:r w:rsidR="00B276BF" w:rsidRPr="00C243CD">
        <w:rPr>
          <w:rFonts w:ascii="Cambria" w:hAnsi="Cambria"/>
          <w:lang w:val="en-GB"/>
        </w:rPr>
        <w:t>can be left blank.</w:t>
      </w:r>
    </w:p>
    <w:p w14:paraId="36ADC1BE" w14:textId="77777777" w:rsidR="005C174B" w:rsidRPr="00C243CD" w:rsidRDefault="005C174B" w:rsidP="005C174B">
      <w:pPr>
        <w:rPr>
          <w:rFonts w:ascii="Cambria" w:hAnsi="Cambria"/>
          <w:lang w:val="en-GB"/>
        </w:rPr>
      </w:pPr>
      <w:r w:rsidRPr="00C243CD">
        <w:rPr>
          <w:rFonts w:ascii="Cambria" w:hAnsi="Cambria"/>
          <w:lang w:val="en-GB"/>
        </w:rPr>
        <w:t>For the purposes of this table, liabilities have to be reported on a transaction basis, i.e. each transaction reported as an individual line item.</w:t>
      </w:r>
      <w:r w:rsidR="00E92F58" w:rsidRPr="00C243CD">
        <w:rPr>
          <w:rFonts w:ascii="Cambria" w:hAnsi="Cambria"/>
          <w:lang w:val="en-GB"/>
        </w:rPr>
        <w:t xml:space="preserve"> No reporting thresholds are applicable in this respect.</w:t>
      </w:r>
    </w:p>
    <w:p w14:paraId="42EE5BDB" w14:textId="276887BC" w:rsidR="004F470B" w:rsidRPr="00C243CD" w:rsidRDefault="00DA3A5D" w:rsidP="004F470B">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10 - N°</w:t>
      </w:r>
    </w:p>
    <w:p w14:paraId="4D46C57D" w14:textId="77777777" w:rsidR="004F470B" w:rsidRPr="00C243CD" w:rsidRDefault="004F470B" w:rsidP="004F470B">
      <w:pPr>
        <w:rPr>
          <w:rFonts w:ascii="Cambria" w:hAnsi="Cambria"/>
          <w:lang w:val="en-GB"/>
        </w:rPr>
      </w:pPr>
      <w:r w:rsidRPr="00C243CD">
        <w:rPr>
          <w:rFonts w:ascii="Cambria" w:hAnsi="Cambria"/>
          <w:lang w:val="en-GB"/>
        </w:rPr>
        <w:t>Unique number/primary key to identify the line items.</w:t>
      </w:r>
    </w:p>
    <w:p w14:paraId="2F131996" w14:textId="0E99D044" w:rsidR="00DA5C81" w:rsidRPr="00C243CD" w:rsidRDefault="00DA3A5D" w:rsidP="009474F1">
      <w:pPr>
        <w:pStyle w:val="Heading4"/>
        <w:rPr>
          <w:rFonts w:ascii="Cambria" w:hAnsi="Cambria"/>
          <w:lang w:val="en-GB"/>
        </w:rPr>
      </w:pPr>
      <w:r w:rsidRPr="00C243CD">
        <w:rPr>
          <w:rFonts w:ascii="Cambria" w:hAnsi="Cambria"/>
          <w:lang w:val="en-GB"/>
        </w:rPr>
        <w:t>c00</w:t>
      </w:r>
      <w:r w:rsidR="001D45ED">
        <w:rPr>
          <w:rFonts w:ascii="Cambria" w:hAnsi="Cambria"/>
          <w:lang w:val="en-GB"/>
        </w:rPr>
        <w:t>2</w:t>
      </w:r>
      <w:r w:rsidR="00DA5C81" w:rsidRPr="00C243CD">
        <w:rPr>
          <w:rFonts w:ascii="Cambria" w:hAnsi="Cambria"/>
          <w:lang w:val="en-GB"/>
        </w:rPr>
        <w:t>0 - Line</w:t>
      </w:r>
    </w:p>
    <w:p w14:paraId="0AC96CC8" w14:textId="77777777" w:rsidR="00FC47FC" w:rsidRPr="00C243CD" w:rsidRDefault="00E62E61" w:rsidP="00FC47FC">
      <w:pPr>
        <w:rPr>
          <w:rFonts w:ascii="Cambria" w:hAnsi="Cambria"/>
          <w:lang w:val="en-GB"/>
        </w:rPr>
      </w:pPr>
      <w:r w:rsidRPr="00C243CD">
        <w:rPr>
          <w:rFonts w:ascii="Cambria" w:hAnsi="Cambria"/>
          <w:lang w:val="en-GB"/>
        </w:rPr>
        <w:t>For each instrument, a reconciliation with the categories of liabilities of the liability structure in T01.00 has to be provided at the level of maturity from a predefined list of values.</w:t>
      </w:r>
    </w:p>
    <w:p w14:paraId="6C5EED99" w14:textId="4118829C" w:rsidR="00DA5C81"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3</w:t>
      </w:r>
      <w:r w:rsidR="00DA5C81" w:rsidRPr="00C243CD">
        <w:rPr>
          <w:rFonts w:ascii="Cambria" w:hAnsi="Cambria"/>
          <w:lang w:val="en-GB"/>
        </w:rPr>
        <w:t>0 - Column</w:t>
      </w:r>
    </w:p>
    <w:p w14:paraId="10CE0896" w14:textId="77777777" w:rsidR="00DF6C6B" w:rsidRPr="00C243CD" w:rsidRDefault="00DF6C6B" w:rsidP="009474F1">
      <w:pPr>
        <w:rPr>
          <w:rFonts w:ascii="Cambria" w:hAnsi="Cambria"/>
          <w:lang w:val="en-GB"/>
        </w:rPr>
      </w:pPr>
      <w:r w:rsidRPr="00C243CD">
        <w:rPr>
          <w:rFonts w:ascii="Cambria" w:hAnsi="Cambria"/>
          <w:lang w:val="en-GB"/>
        </w:rPr>
        <w:t xml:space="preserve">For each instrument, </w:t>
      </w:r>
      <w:r w:rsidR="00F42F70" w:rsidRPr="00C243CD">
        <w:rPr>
          <w:rFonts w:ascii="Cambria" w:hAnsi="Cambria"/>
          <w:lang w:val="en-GB"/>
        </w:rPr>
        <w:t xml:space="preserve">a reconciliation with the counterparty class in T01.00 to which the liability is owed </w:t>
      </w:r>
      <w:r w:rsidRPr="00C243CD">
        <w:rPr>
          <w:rFonts w:ascii="Cambria" w:hAnsi="Cambria"/>
          <w:lang w:val="en-GB"/>
        </w:rPr>
        <w:t>has to be provided</w:t>
      </w:r>
      <w:r w:rsidR="00E62E61" w:rsidRPr="00C243CD">
        <w:rPr>
          <w:rFonts w:ascii="Cambria" w:hAnsi="Cambria"/>
          <w:lang w:val="en-GB"/>
        </w:rPr>
        <w:t xml:space="preserve"> f</w:t>
      </w:r>
      <w:r w:rsidR="00FC47FC" w:rsidRPr="00C243CD">
        <w:rPr>
          <w:rFonts w:ascii="Cambria" w:hAnsi="Cambria"/>
          <w:lang w:val="en-GB"/>
        </w:rPr>
        <w:t>rom predefined list of values.</w:t>
      </w:r>
    </w:p>
    <w:p w14:paraId="4B2C1BAA" w14:textId="4DC6F840" w:rsidR="00D202BC"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4</w:t>
      </w:r>
      <w:r w:rsidR="00D202BC" w:rsidRPr="00C243CD">
        <w:rPr>
          <w:rFonts w:ascii="Cambria" w:hAnsi="Cambria"/>
          <w:lang w:val="en-GB"/>
        </w:rPr>
        <w:t>0 - Insolvency Ranking</w:t>
      </w:r>
    </w:p>
    <w:p w14:paraId="762E12EF" w14:textId="77777777" w:rsidR="00D202BC" w:rsidRPr="00C243CD" w:rsidRDefault="00D202BC" w:rsidP="009474F1">
      <w:pPr>
        <w:rPr>
          <w:rFonts w:ascii="Cambria" w:hAnsi="Cambria"/>
          <w:lang w:val="en-GB"/>
        </w:rPr>
      </w:pPr>
      <w:r w:rsidRPr="00C243CD">
        <w:rPr>
          <w:rFonts w:ascii="Cambria" w:hAnsi="Cambria"/>
          <w:lang w:val="en-GB"/>
        </w:rPr>
        <w:t xml:space="preserve">Identified ranking in line with </w:t>
      </w:r>
      <w:r w:rsidR="00E62E61" w:rsidRPr="00C243CD">
        <w:rPr>
          <w:rFonts w:ascii="Cambria" w:hAnsi="Cambria"/>
          <w:lang w:val="en-GB"/>
        </w:rPr>
        <w:t xml:space="preserve">Part 1, Section 6 </w:t>
      </w:r>
      <w:r w:rsidRPr="00C243CD">
        <w:rPr>
          <w:rFonts w:ascii="Cambria" w:hAnsi="Cambria"/>
          <w:lang w:val="en-GB"/>
        </w:rPr>
        <w:t xml:space="preserve">of the </w:t>
      </w:r>
      <w:r w:rsidR="00341874" w:rsidRPr="00C243CD">
        <w:rPr>
          <w:rFonts w:ascii="Cambria" w:hAnsi="Cambria"/>
          <w:lang w:val="en-GB"/>
        </w:rPr>
        <w:t>guidance</w:t>
      </w:r>
      <w:r w:rsidRPr="00C243CD">
        <w:rPr>
          <w:rFonts w:ascii="Cambria" w:hAnsi="Cambria"/>
          <w:lang w:val="en-GB"/>
        </w:rPr>
        <w:t>.</w:t>
      </w:r>
    </w:p>
    <w:p w14:paraId="60995448" w14:textId="11326E31"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5</w:t>
      </w:r>
      <w:r w:rsidR="002B5DBA" w:rsidRPr="00C243CD">
        <w:rPr>
          <w:rFonts w:ascii="Cambria" w:hAnsi="Cambria"/>
          <w:lang w:val="en-GB"/>
        </w:rPr>
        <w:t xml:space="preserve">0 </w:t>
      </w:r>
      <w:r w:rsidR="00E616B6">
        <w:rPr>
          <w:rFonts w:ascii="Cambria" w:hAnsi="Cambria"/>
          <w:lang w:val="en-GB"/>
        </w:rPr>
        <w:t>–</w:t>
      </w:r>
      <w:r w:rsidR="002B5DBA" w:rsidRPr="00C243CD">
        <w:rPr>
          <w:rFonts w:ascii="Cambria" w:hAnsi="Cambria"/>
          <w:lang w:val="en-GB"/>
        </w:rPr>
        <w:t xml:space="preserve"> </w:t>
      </w:r>
      <w:r w:rsidR="00E616B6">
        <w:rPr>
          <w:rFonts w:ascii="Cambria" w:hAnsi="Cambria"/>
          <w:lang w:val="en-GB"/>
        </w:rPr>
        <w:t>Contract</w:t>
      </w:r>
      <w:r w:rsidR="002B5DBA" w:rsidRPr="00C243CD">
        <w:rPr>
          <w:rFonts w:ascii="Cambria" w:hAnsi="Cambria"/>
          <w:lang w:val="en-GB"/>
        </w:rPr>
        <w:t xml:space="preserve"> identifier</w:t>
      </w:r>
    </w:p>
    <w:p w14:paraId="754338ED" w14:textId="77777777" w:rsidR="002B5DBA" w:rsidRPr="00C243CD" w:rsidRDefault="002B5DBA" w:rsidP="009474F1">
      <w:pPr>
        <w:rPr>
          <w:rFonts w:ascii="Cambria" w:hAnsi="Cambria"/>
          <w:lang w:val="en-GB"/>
        </w:rPr>
      </w:pPr>
      <w:r w:rsidRPr="00C243CD">
        <w:rPr>
          <w:rFonts w:ascii="Cambria" w:hAnsi="Cambria"/>
          <w:lang w:val="en-GB"/>
        </w:rPr>
        <w:t>Internal identifier of the contract, as equivalent to the ISIN for securities.</w:t>
      </w:r>
    </w:p>
    <w:p w14:paraId="03DE7196" w14:textId="517E9E8C" w:rsidR="00A11BE7" w:rsidRDefault="001967F6" w:rsidP="009474F1">
      <w:pPr>
        <w:pStyle w:val="Heading4"/>
        <w:rPr>
          <w:rFonts w:ascii="Cambria" w:hAnsi="Cambria"/>
          <w:lang w:val="en-GB"/>
        </w:rPr>
      </w:pPr>
      <w:r>
        <w:rPr>
          <w:rFonts w:ascii="Cambria" w:hAnsi="Cambria"/>
          <w:lang w:val="en-GB"/>
        </w:rPr>
        <w:t>c0055</w:t>
      </w:r>
      <w:r w:rsidR="00A11BE7">
        <w:rPr>
          <w:rFonts w:ascii="Cambria" w:hAnsi="Cambria"/>
          <w:lang w:val="en-GB"/>
        </w:rPr>
        <w:t xml:space="preserve"> – Entity name of the counterparty</w:t>
      </w:r>
    </w:p>
    <w:p w14:paraId="5420BD2E" w14:textId="79D20601" w:rsidR="00A11BE7" w:rsidRPr="00A11BE7" w:rsidRDefault="00A11BE7" w:rsidP="00A11BE7">
      <w:pPr>
        <w:rPr>
          <w:rFonts w:ascii="Cambria" w:hAnsi="Cambria"/>
          <w:lang w:val="en-GB"/>
        </w:rPr>
      </w:pPr>
      <w:r w:rsidRPr="008125B1">
        <w:rPr>
          <w:rFonts w:ascii="Cambria" w:hAnsi="Cambria"/>
          <w:lang w:val="en-GB"/>
        </w:rPr>
        <w:t xml:space="preserve">Must be different from the entity name </w:t>
      </w:r>
      <w:r>
        <w:rPr>
          <w:rFonts w:ascii="Cambria" w:hAnsi="Cambria"/>
          <w:lang w:val="en-GB"/>
        </w:rPr>
        <w:t>reported in</w:t>
      </w:r>
      <w:r w:rsidRPr="008125B1">
        <w:rPr>
          <w:rFonts w:ascii="Cambria" w:hAnsi="Cambria"/>
          <w:lang w:val="en-GB"/>
        </w:rPr>
        <w:t xml:space="preserve"> </w:t>
      </w:r>
      <w:r>
        <w:rPr>
          <w:rFonts w:ascii="Cambria" w:hAnsi="Cambria"/>
          <w:lang w:val="en-GB"/>
        </w:rPr>
        <w:t>T99.00-r</w:t>
      </w:r>
      <w:r w:rsidRPr="008125B1">
        <w:rPr>
          <w:rFonts w:ascii="Cambria" w:hAnsi="Cambria"/>
          <w:lang w:val="en-GB"/>
        </w:rPr>
        <w:t>0010</w:t>
      </w:r>
      <w:r>
        <w:rPr>
          <w:rFonts w:ascii="Cambria" w:hAnsi="Cambria"/>
          <w:lang w:val="en-GB"/>
        </w:rPr>
        <w:t>.</w:t>
      </w:r>
    </w:p>
    <w:p w14:paraId="2EEBD615" w14:textId="2EB8D55F"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60 - Lending Entity/Counterpart</w:t>
      </w:r>
      <w:r w:rsidR="00965702" w:rsidRPr="00C243CD">
        <w:rPr>
          <w:rFonts w:ascii="Cambria" w:hAnsi="Cambria"/>
          <w:lang w:val="en-GB"/>
        </w:rPr>
        <w:t xml:space="preserve"> (ID)</w:t>
      </w:r>
    </w:p>
    <w:p w14:paraId="04FDC7F6" w14:textId="77777777" w:rsidR="00C30939" w:rsidRPr="00C243CD" w:rsidRDefault="00C30939" w:rsidP="009474F1">
      <w:pPr>
        <w:pStyle w:val="Heading4"/>
        <w:rPr>
          <w:rFonts w:ascii="Cambria" w:hAnsi="Cambria"/>
          <w:i w:val="0"/>
          <w:color w:val="auto"/>
          <w:lang w:val="en-GB"/>
        </w:rPr>
      </w:pPr>
      <w:r w:rsidRPr="00C243CD">
        <w:rPr>
          <w:rFonts w:ascii="Cambria" w:hAnsi="Cambria"/>
          <w:i w:val="0"/>
          <w:color w:val="auto"/>
          <w:lang w:val="en-GB"/>
        </w:rPr>
        <w:t>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t>
      </w:r>
    </w:p>
    <w:p w14:paraId="413627BE" w14:textId="6EF43632" w:rsidR="00DD7134" w:rsidRDefault="00DD7134" w:rsidP="00DD7134">
      <w:pPr>
        <w:rPr>
          <w:rFonts w:ascii="Cambria" w:eastAsiaTheme="majorEastAsia" w:hAnsi="Cambria" w:cstheme="majorBidi"/>
          <w:i/>
          <w:iCs/>
          <w:color w:val="2E74B5" w:themeColor="accent1" w:themeShade="BF"/>
          <w:lang w:val="en-GB"/>
        </w:rPr>
      </w:pPr>
      <w:r>
        <w:rPr>
          <w:rFonts w:ascii="Cambria" w:eastAsiaTheme="majorEastAsia" w:hAnsi="Cambria" w:cstheme="majorBidi"/>
          <w:i/>
          <w:iCs/>
          <w:color w:val="2E74B5" w:themeColor="accent1" w:themeShade="BF"/>
          <w:lang w:val="en-GB"/>
        </w:rPr>
        <w:t>c</w:t>
      </w:r>
      <w:r w:rsidRPr="00047E4D">
        <w:rPr>
          <w:rFonts w:ascii="Cambria" w:eastAsiaTheme="majorEastAsia" w:hAnsi="Cambria" w:cstheme="majorBidi"/>
          <w:i/>
          <w:iCs/>
          <w:color w:val="2E74B5" w:themeColor="accent1" w:themeShade="BF"/>
          <w:lang w:val="en-GB"/>
        </w:rPr>
        <w:t>00</w:t>
      </w:r>
      <w:r w:rsidR="00A11BE7">
        <w:rPr>
          <w:rFonts w:ascii="Cambria" w:eastAsiaTheme="majorEastAsia" w:hAnsi="Cambria" w:cstheme="majorBidi"/>
          <w:i/>
          <w:iCs/>
          <w:color w:val="2E74B5" w:themeColor="accent1" w:themeShade="BF"/>
          <w:lang w:val="en-GB"/>
        </w:rPr>
        <w:t>65</w:t>
      </w:r>
      <w:r w:rsidRPr="00047E4D">
        <w:rPr>
          <w:rFonts w:ascii="Cambria" w:eastAsiaTheme="majorEastAsia" w:hAnsi="Cambria" w:cstheme="majorBidi"/>
          <w:i/>
          <w:iCs/>
          <w:color w:val="2E74B5" w:themeColor="accent1" w:themeShade="BF"/>
          <w:lang w:val="en-GB"/>
        </w:rPr>
        <w:t xml:space="preserve"> –Type of Identifier</w:t>
      </w:r>
    </w:p>
    <w:p w14:paraId="722AEF19" w14:textId="77777777" w:rsidR="003D6B3C" w:rsidRPr="003D6B3C" w:rsidRDefault="003D6B3C" w:rsidP="003D6B3C">
      <w:pPr>
        <w:rPr>
          <w:rFonts w:ascii="Cambria" w:hAnsi="Cambria"/>
          <w:lang w:val="en-GB"/>
        </w:rPr>
      </w:pPr>
      <w:r>
        <w:rPr>
          <w:rFonts w:ascii="Cambria" w:hAnsi="Cambria"/>
          <w:lang w:val="en-GB"/>
        </w:rPr>
        <w:t>To be chosen among the following options</w:t>
      </w:r>
      <w:r w:rsidRPr="003D6B3C">
        <w:rPr>
          <w:rFonts w:ascii="Cambria" w:hAnsi="Cambria"/>
          <w:lang w:val="en-GB"/>
        </w:rPr>
        <w:t>: “LEI code”, “MFI code” or “Type of identifier, other than LEI or MFI code”.</w:t>
      </w:r>
    </w:p>
    <w:p w14:paraId="6C480967" w14:textId="652E7C6D" w:rsidR="002B5DBA" w:rsidRPr="00C243CD" w:rsidRDefault="003D6B3C" w:rsidP="003D6B3C">
      <w:pPr>
        <w:pStyle w:val="Heading4"/>
        <w:rPr>
          <w:rFonts w:ascii="Cambria" w:hAnsi="Cambria"/>
          <w:lang w:val="en-GB"/>
        </w:rPr>
      </w:pPr>
      <w:r w:rsidRPr="00C243CD">
        <w:rPr>
          <w:rFonts w:ascii="Cambria" w:hAnsi="Cambria"/>
          <w:lang w:val="en-GB"/>
        </w:rPr>
        <w:t xml:space="preserve"> </w:t>
      </w:r>
      <w:r w:rsidR="00DA3A5D" w:rsidRPr="00C243CD">
        <w:rPr>
          <w:rFonts w:ascii="Cambria" w:hAnsi="Cambria"/>
          <w:lang w:val="en-GB"/>
        </w:rPr>
        <w:t>c00</w:t>
      </w:r>
      <w:r w:rsidR="002B5DBA" w:rsidRPr="00C243CD">
        <w:rPr>
          <w:rFonts w:ascii="Cambria" w:hAnsi="Cambria"/>
          <w:lang w:val="en-GB"/>
        </w:rPr>
        <w:t>70 - Governing Law</w:t>
      </w:r>
    </w:p>
    <w:p w14:paraId="229DB047" w14:textId="5CE2F851" w:rsidR="002B5DBA" w:rsidRDefault="002B5DBA" w:rsidP="009474F1">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t>
      </w:r>
      <w:r w:rsidR="00F64A95" w:rsidRPr="00C243CD">
        <w:rPr>
          <w:rFonts w:ascii="Cambria" w:hAnsi="Cambria"/>
          <w:lang w:val="en-GB"/>
        </w:rPr>
        <w:t>whose</w:t>
      </w:r>
      <w:r w:rsidRPr="00C243CD">
        <w:rPr>
          <w:rFonts w:ascii="Cambria" w:hAnsi="Cambria"/>
          <w:lang w:val="en-GB"/>
        </w:rPr>
        <w:t xml:space="preserve"> law governs the instrument.</w:t>
      </w:r>
    </w:p>
    <w:p w14:paraId="0A5D3051" w14:textId="5877DD30" w:rsidR="00E616B6" w:rsidRDefault="00E616B6" w:rsidP="009474F1">
      <w:pPr>
        <w:rPr>
          <w:rFonts w:ascii="Cambria" w:hAnsi="Cambria"/>
          <w:lang w:val="en-GB"/>
        </w:rPr>
      </w:pPr>
      <w:r>
        <w:rPr>
          <w:rFonts w:ascii="Cambria" w:hAnsi="Cambria"/>
          <w:lang w:val="en-GB"/>
        </w:rPr>
        <w:t xml:space="preserve"> </w:t>
      </w:r>
      <w:r>
        <w:rPr>
          <w:rFonts w:ascii="Cambria" w:eastAsiaTheme="majorEastAsia" w:hAnsi="Cambria" w:cstheme="majorBidi"/>
          <w:i/>
          <w:iCs/>
          <w:color w:val="2E74B5" w:themeColor="accent1" w:themeShade="BF"/>
          <w:lang w:val="en-GB"/>
        </w:rPr>
        <w:t>c</w:t>
      </w:r>
      <w:r w:rsidRPr="00E616B6">
        <w:rPr>
          <w:rFonts w:ascii="Cambria" w:eastAsiaTheme="majorEastAsia" w:hAnsi="Cambria" w:cstheme="majorBidi"/>
          <w:i/>
          <w:iCs/>
          <w:color w:val="2E74B5" w:themeColor="accent1" w:themeShade="BF"/>
          <w:lang w:val="en-GB"/>
        </w:rPr>
        <w:t>0075 – Type of Financial Liabilities</w:t>
      </w:r>
    </w:p>
    <w:p w14:paraId="332B4EEF" w14:textId="0551C752" w:rsidR="00E616B6" w:rsidRPr="00C243CD" w:rsidRDefault="00E616B6" w:rsidP="009474F1">
      <w:pPr>
        <w:rPr>
          <w:rFonts w:ascii="Cambria" w:hAnsi="Cambria"/>
          <w:lang w:val="en-GB"/>
        </w:rPr>
      </w:pPr>
      <w:r>
        <w:rPr>
          <w:rFonts w:ascii="Cambria" w:hAnsi="Cambria"/>
          <w:lang w:val="en-GB"/>
        </w:rPr>
        <w:t>To be chosen among the following options “</w:t>
      </w:r>
      <w:r w:rsidRPr="00E616B6">
        <w:rPr>
          <w:rFonts w:ascii="Cambria" w:hAnsi="Cambria"/>
          <w:lang w:val="en-GB"/>
        </w:rPr>
        <w:t>Promissory note</w:t>
      </w:r>
      <w:r>
        <w:rPr>
          <w:rFonts w:ascii="Cambria" w:hAnsi="Cambria"/>
          <w:lang w:val="en-GB"/>
        </w:rPr>
        <w:t>”, “</w:t>
      </w:r>
      <w:r w:rsidRPr="00E616B6">
        <w:rPr>
          <w:rFonts w:ascii="Cambria" w:hAnsi="Cambria"/>
          <w:lang w:val="en-GB"/>
        </w:rPr>
        <w:t>Registered note</w:t>
      </w:r>
      <w:r>
        <w:rPr>
          <w:rFonts w:ascii="Cambria" w:hAnsi="Cambria"/>
          <w:lang w:val="en-GB"/>
        </w:rPr>
        <w:t>”, “</w:t>
      </w:r>
      <w:r w:rsidRPr="00E616B6">
        <w:rPr>
          <w:rFonts w:ascii="Cambria" w:hAnsi="Cambria"/>
          <w:lang w:val="en-GB"/>
        </w:rPr>
        <w:t>Bill of exchange</w:t>
      </w:r>
      <w:r>
        <w:rPr>
          <w:rFonts w:ascii="Cambria" w:hAnsi="Cambria"/>
          <w:lang w:val="en-GB"/>
        </w:rPr>
        <w:t>”, “</w:t>
      </w:r>
      <w:r w:rsidRPr="00E616B6">
        <w:rPr>
          <w:rFonts w:ascii="Cambria" w:hAnsi="Cambria"/>
          <w:lang w:val="en-GB"/>
        </w:rPr>
        <w:t>Silent Partnership Contributions</w:t>
      </w:r>
      <w:r>
        <w:rPr>
          <w:rFonts w:ascii="Cambria" w:hAnsi="Cambria"/>
          <w:lang w:val="en-GB"/>
        </w:rPr>
        <w:t>”, “</w:t>
      </w:r>
      <w:r w:rsidRPr="00E616B6">
        <w:rPr>
          <w:rFonts w:ascii="Cambria" w:hAnsi="Cambria"/>
          <w:lang w:val="en-GB"/>
        </w:rPr>
        <w:t>Other</w:t>
      </w:r>
      <w:r>
        <w:rPr>
          <w:rFonts w:ascii="Cambria" w:hAnsi="Cambria"/>
          <w:lang w:val="en-GB"/>
        </w:rPr>
        <w:t>”.</w:t>
      </w:r>
    </w:p>
    <w:p w14:paraId="16805103" w14:textId="469AF8AB" w:rsidR="002B5DBA" w:rsidRPr="00C243CD" w:rsidRDefault="00DA3A5D" w:rsidP="009474F1">
      <w:pPr>
        <w:pStyle w:val="Heading4"/>
        <w:rPr>
          <w:rFonts w:ascii="Cambria" w:hAnsi="Cambria"/>
          <w:lang w:val="en-GB"/>
        </w:rPr>
      </w:pPr>
      <w:r w:rsidRPr="00C243CD">
        <w:rPr>
          <w:rFonts w:ascii="Cambria" w:hAnsi="Cambria"/>
          <w:lang w:val="en-GB"/>
        </w:rPr>
        <w:lastRenderedPageBreak/>
        <w:t>c00</w:t>
      </w:r>
      <w:r w:rsidR="002B5DBA" w:rsidRPr="00C243CD">
        <w:rPr>
          <w:rFonts w:ascii="Cambria" w:hAnsi="Cambria"/>
          <w:lang w:val="en-GB"/>
        </w:rPr>
        <w:t>80 - If Third Country</w:t>
      </w:r>
      <w:r w:rsidR="009E7FAA" w:rsidRPr="00C243CD">
        <w:rPr>
          <w:rFonts w:ascii="Cambria" w:hAnsi="Cambria"/>
          <w:lang w:val="en-GB"/>
        </w:rPr>
        <w:t xml:space="preserve"> Law or UK law</w:t>
      </w:r>
      <w:r w:rsidR="009E7FAA" w:rsidRPr="00C243CD">
        <w:rPr>
          <w:rStyle w:val="FootnoteReference"/>
          <w:rFonts w:ascii="Cambria" w:hAnsi="Cambria"/>
          <w:lang w:val="en-GB"/>
        </w:rPr>
        <w:footnoteReference w:id="15"/>
      </w:r>
      <w:r w:rsidR="002B5DBA" w:rsidRPr="00C243CD">
        <w:rPr>
          <w:rFonts w:ascii="Cambria" w:hAnsi="Cambria"/>
          <w:lang w:val="en-GB"/>
        </w:rPr>
        <w:t>, Contractual Recognitio</w:t>
      </w:r>
      <w:r w:rsidR="005E419B">
        <w:rPr>
          <w:rFonts w:ascii="Cambria" w:hAnsi="Cambria"/>
          <w:lang w:val="en-GB"/>
        </w:rPr>
        <w:t>n</w:t>
      </w:r>
    </w:p>
    <w:p w14:paraId="53B0A2ED" w14:textId="429EF946" w:rsidR="00C51450" w:rsidRPr="00C243CD" w:rsidRDefault="00C51450" w:rsidP="00C51450">
      <w:pPr>
        <w:rPr>
          <w:rFonts w:ascii="Cambria" w:hAnsi="Cambria"/>
          <w:lang w:val="en-GB"/>
        </w:rPr>
      </w:pPr>
      <w:r w:rsidRPr="00C243CD">
        <w:rPr>
          <w:rFonts w:ascii="Cambria" w:hAnsi="Cambria"/>
          <w:lang w:val="en-GB"/>
        </w:rPr>
        <w:t>Identification of contractual provisions for the recognition of bail-in powers</w:t>
      </w:r>
      <w:r w:rsidR="00A32783" w:rsidRPr="00C243CD">
        <w:rPr>
          <w:rFonts w:ascii="Cambria" w:hAnsi="Cambria"/>
          <w:lang w:val="en-GB"/>
        </w:rPr>
        <w:t xml:space="preserve"> in line with article 55 of the BRRD</w:t>
      </w:r>
      <w:r w:rsidRPr="00C243CD">
        <w:rPr>
          <w:rFonts w:ascii="Cambria" w:hAnsi="Cambria"/>
          <w:lang w:val="en-GB"/>
        </w:rPr>
        <w:t>, either ‘Yes</w:t>
      </w:r>
      <w:r w:rsidR="00563F37" w:rsidRPr="00563F37">
        <w:rPr>
          <w:rFonts w:ascii="Cambria" w:hAnsi="Cambria"/>
          <w:lang w:val="en-GB"/>
        </w:rPr>
        <w:t xml:space="preserve"> (Contractual recognition of bail-in powers)</w:t>
      </w:r>
      <w:r w:rsidRPr="00C243CD">
        <w:rPr>
          <w:rFonts w:ascii="Cambria" w:hAnsi="Cambria"/>
          <w:lang w:val="en-GB"/>
        </w:rPr>
        <w:t>’, ‘No</w:t>
      </w:r>
      <w:r w:rsidR="00563F37" w:rsidRPr="00563F37">
        <w:rPr>
          <w:rFonts w:ascii="Cambria" w:hAnsi="Cambria"/>
          <w:lang w:val="en-GB"/>
        </w:rPr>
        <w:t xml:space="preserve"> (Contractual recognition of bail-in powers)</w:t>
      </w:r>
      <w:r w:rsidRPr="00C243CD">
        <w:rPr>
          <w:rFonts w:ascii="Cambria" w:hAnsi="Cambria"/>
          <w:lang w:val="en-GB"/>
        </w:rPr>
        <w:t>’ or ‘</w:t>
      </w:r>
      <w:r w:rsidR="00D9361E" w:rsidRPr="00C243CD">
        <w:rPr>
          <w:rFonts w:ascii="Cambria" w:hAnsi="Cambria"/>
          <w:lang w:val="en-GB"/>
        </w:rPr>
        <w:t xml:space="preserve">Not </w:t>
      </w:r>
      <w:r w:rsidR="0018198C" w:rsidRPr="00C243CD">
        <w:rPr>
          <w:rFonts w:ascii="Cambria" w:hAnsi="Cambria"/>
          <w:lang w:val="en-GB"/>
        </w:rPr>
        <w:t>A</w:t>
      </w:r>
      <w:r w:rsidR="00D9361E" w:rsidRPr="00C243CD">
        <w:rPr>
          <w:rFonts w:ascii="Cambria" w:hAnsi="Cambria"/>
          <w:lang w:val="en-GB"/>
        </w:rPr>
        <w:t>pplicable</w:t>
      </w:r>
      <w:r w:rsidR="00563F37" w:rsidRPr="00563F37">
        <w:rPr>
          <w:rFonts w:ascii="Cambria" w:hAnsi="Cambria"/>
          <w:lang w:val="en-GB"/>
        </w:rPr>
        <w:t xml:space="preserve"> (Contractual recognition of bail-in powers)</w:t>
      </w:r>
      <w:r w:rsidRPr="00C243CD">
        <w:rPr>
          <w:rFonts w:ascii="Cambria" w:hAnsi="Cambria"/>
          <w:lang w:val="en-GB"/>
        </w:rPr>
        <w:t>’</w:t>
      </w:r>
      <w:r w:rsidR="004B4B43" w:rsidRPr="00C243CD">
        <w:rPr>
          <w:rFonts w:ascii="Cambria" w:hAnsi="Cambria"/>
          <w:lang w:val="en-GB"/>
        </w:rPr>
        <w:t xml:space="preserve"> from a predefined list</w:t>
      </w:r>
      <w:r w:rsidRPr="00C243CD">
        <w:rPr>
          <w:rFonts w:ascii="Cambria" w:hAnsi="Cambria"/>
          <w:lang w:val="en-GB"/>
        </w:rPr>
        <w:t>.</w:t>
      </w:r>
    </w:p>
    <w:p w14:paraId="3A6738D6" w14:textId="43683EE2"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90 - Outstanding Principal Amount</w:t>
      </w:r>
    </w:p>
    <w:p w14:paraId="24FC424F" w14:textId="77777777" w:rsidR="002B5DBA" w:rsidRPr="00C243CD" w:rsidRDefault="002B5DBA" w:rsidP="009474F1">
      <w:pPr>
        <w:rPr>
          <w:rFonts w:ascii="Cambria" w:hAnsi="Cambria"/>
          <w:lang w:val="en-GB"/>
        </w:rPr>
      </w:pPr>
      <w:r w:rsidRPr="00C243CD">
        <w:rPr>
          <w:rFonts w:ascii="Cambria" w:hAnsi="Cambria"/>
          <w:lang w:val="en-GB"/>
        </w:rPr>
        <w:t>The EUR (counter) value of the outstanding principal amount of the instrument.</w:t>
      </w:r>
    </w:p>
    <w:p w14:paraId="7C889EFF" w14:textId="39FA19A5" w:rsidR="002B5DBA" w:rsidRPr="00C243CD" w:rsidRDefault="00DA3A5D" w:rsidP="009474F1">
      <w:pPr>
        <w:pStyle w:val="Heading4"/>
        <w:rPr>
          <w:rFonts w:ascii="Cambria" w:hAnsi="Cambria"/>
          <w:lang w:val="en-GB"/>
        </w:rPr>
      </w:pPr>
      <w:r w:rsidRPr="00C243CD">
        <w:rPr>
          <w:rFonts w:ascii="Cambria" w:hAnsi="Cambria"/>
          <w:lang w:val="en-GB"/>
        </w:rPr>
        <w:t>c01</w:t>
      </w:r>
      <w:r w:rsidR="002B5DBA" w:rsidRPr="00C243CD">
        <w:rPr>
          <w:rFonts w:ascii="Cambria" w:hAnsi="Cambria"/>
          <w:lang w:val="en-GB"/>
        </w:rPr>
        <w:t>00 - Accrued Interest</w:t>
      </w:r>
    </w:p>
    <w:p w14:paraId="204895B9" w14:textId="77777777" w:rsidR="002B5DBA" w:rsidRPr="00C243CD" w:rsidRDefault="002B5DBA" w:rsidP="009474F1">
      <w:pPr>
        <w:rPr>
          <w:rFonts w:ascii="Cambria" w:hAnsi="Cambria"/>
          <w:lang w:val="en-GB"/>
        </w:rPr>
      </w:pPr>
      <w:r w:rsidRPr="00C243CD">
        <w:rPr>
          <w:rFonts w:ascii="Cambria" w:hAnsi="Cambria"/>
          <w:lang w:val="en-GB"/>
        </w:rPr>
        <w:t>The EUR (counter) value of the outstanding accrued interest on the instrument.</w:t>
      </w:r>
    </w:p>
    <w:p w14:paraId="1BA4A211" w14:textId="5C36952C" w:rsidR="003D0B7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1</w:t>
      </w:r>
      <w:r w:rsidR="003D0B7A" w:rsidRPr="00C243CD">
        <w:rPr>
          <w:rFonts w:ascii="Cambria" w:hAnsi="Cambria"/>
          <w:lang w:val="en-GB"/>
        </w:rPr>
        <w:t>0 - Current Interest Rate</w:t>
      </w:r>
      <w:r w:rsidR="009A4A48" w:rsidRPr="00C243CD">
        <w:rPr>
          <w:rFonts w:ascii="Cambria" w:hAnsi="Cambria"/>
          <w:lang w:val="en-GB"/>
        </w:rPr>
        <w:t xml:space="preserve"> (%)</w:t>
      </w:r>
    </w:p>
    <w:p w14:paraId="15EA2113" w14:textId="77777777" w:rsidR="003D0B7A" w:rsidRPr="00C243CD" w:rsidRDefault="003D0B7A" w:rsidP="00B27610">
      <w:pPr>
        <w:rPr>
          <w:rFonts w:ascii="Cambria" w:hAnsi="Cambria"/>
          <w:lang w:val="en-GB"/>
        </w:rPr>
      </w:pPr>
      <w:r w:rsidRPr="00C243CD">
        <w:rPr>
          <w:rFonts w:ascii="Cambria" w:hAnsi="Cambria"/>
          <w:lang w:val="en-GB"/>
        </w:rPr>
        <w:t>Current level of the interest rate that is applicable to the instrument.</w:t>
      </w:r>
      <w:r w:rsidR="008539D8" w:rsidRPr="00C243CD">
        <w:rPr>
          <w:rFonts w:ascii="Cambria" w:hAnsi="Cambria"/>
          <w:lang w:val="en-GB"/>
        </w:rPr>
        <w:t xml:space="preserve"> Notation shall be done in absolute value, where 1 equals 100% and with minimum 4 decimal numbers detail.</w:t>
      </w:r>
    </w:p>
    <w:p w14:paraId="52038089" w14:textId="0FC3EEC9"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2</w:t>
      </w:r>
      <w:r w:rsidR="002B5DBA" w:rsidRPr="00C243CD">
        <w:rPr>
          <w:rFonts w:ascii="Cambria" w:hAnsi="Cambria"/>
          <w:lang w:val="en-GB"/>
        </w:rPr>
        <w:t xml:space="preserve">0 </w:t>
      </w:r>
      <w:r w:rsidR="005E419B">
        <w:rPr>
          <w:rFonts w:ascii="Cambria" w:hAnsi="Cambria"/>
          <w:lang w:val="en-GB"/>
        </w:rPr>
        <w:t>–</w:t>
      </w:r>
      <w:r w:rsidR="002B5DBA" w:rsidRPr="00C243CD">
        <w:rPr>
          <w:rFonts w:ascii="Cambria" w:hAnsi="Cambria"/>
          <w:lang w:val="en-GB"/>
        </w:rPr>
        <w:t xml:space="preserve"> Currency</w:t>
      </w:r>
    </w:p>
    <w:p w14:paraId="6B66EF2B" w14:textId="738F5637" w:rsidR="002B5DBA" w:rsidRPr="00C243CD" w:rsidRDefault="002B5DBA" w:rsidP="009474F1">
      <w:pPr>
        <w:rPr>
          <w:rFonts w:ascii="Cambria" w:hAnsi="Cambria"/>
          <w:lang w:val="en-GB"/>
        </w:rPr>
      </w:pPr>
      <w:r w:rsidRPr="00C243CD">
        <w:rPr>
          <w:rFonts w:ascii="Cambria" w:hAnsi="Cambria"/>
          <w:lang w:val="en-GB"/>
        </w:rPr>
        <w:t>The currency in which the instrument is issued.</w:t>
      </w:r>
    </w:p>
    <w:p w14:paraId="66F237EF" w14:textId="51A8E194"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3</w:t>
      </w:r>
      <w:r w:rsidR="002B5DBA" w:rsidRPr="00C243CD">
        <w:rPr>
          <w:rFonts w:ascii="Cambria" w:hAnsi="Cambria"/>
          <w:lang w:val="en-GB"/>
        </w:rPr>
        <w:t>0 - Issuance Date</w:t>
      </w:r>
    </w:p>
    <w:p w14:paraId="7558BAA4" w14:textId="77777777" w:rsidR="003A24E8" w:rsidRPr="00C243CD" w:rsidRDefault="003A24E8" w:rsidP="003A24E8">
      <w:pPr>
        <w:rPr>
          <w:rFonts w:ascii="Cambria" w:hAnsi="Cambria"/>
          <w:lang w:val="en-GB"/>
        </w:rPr>
      </w:pPr>
      <w:r w:rsidRPr="00C243CD">
        <w:rPr>
          <w:rFonts w:ascii="Cambria" w:hAnsi="Cambria"/>
          <w:lang w:val="en-GB"/>
        </w:rPr>
        <w:t>Date of the original issuance of the liability.</w:t>
      </w:r>
    </w:p>
    <w:p w14:paraId="67FD1837" w14:textId="6AAC4E1D"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4</w:t>
      </w:r>
      <w:r w:rsidR="002B5DBA" w:rsidRPr="00C243CD">
        <w:rPr>
          <w:rFonts w:ascii="Cambria" w:hAnsi="Cambria"/>
          <w:lang w:val="en-GB"/>
        </w:rPr>
        <w:t>0 - Earliest Redemption Date</w:t>
      </w:r>
    </w:p>
    <w:p w14:paraId="7396F2E2" w14:textId="77777777" w:rsidR="002B5DBA" w:rsidRPr="00C243CD" w:rsidRDefault="002B5DBA" w:rsidP="009474F1">
      <w:pPr>
        <w:rPr>
          <w:rFonts w:ascii="Cambria" w:hAnsi="Cambria"/>
          <w:lang w:val="en-GB"/>
        </w:rPr>
      </w:pPr>
      <w:r w:rsidRPr="00C243CD">
        <w:rPr>
          <w:rFonts w:ascii="Cambria" w:hAnsi="Cambria"/>
          <w:lang w:val="en-GB"/>
        </w:rPr>
        <w:t xml:space="preserve">If an option exists for the </w:t>
      </w:r>
      <w:r w:rsidR="003A24E8" w:rsidRPr="00C243CD">
        <w:rPr>
          <w:rFonts w:ascii="Cambria" w:hAnsi="Cambria"/>
          <w:lang w:val="en-GB"/>
        </w:rPr>
        <w:t>creditor</w:t>
      </w:r>
      <w:r w:rsidRPr="00C243CD">
        <w:rPr>
          <w:rFonts w:ascii="Cambria" w:hAnsi="Cambria"/>
          <w:lang w:val="en-GB"/>
        </w:rPr>
        <w:t xml:space="preserve"> to request early reimbursement, or conditions for early reimbursement are contractually foreseen, the earliest occurrence date should be completed.</w:t>
      </w:r>
      <w:r w:rsidR="00282945" w:rsidRPr="00C243CD">
        <w:rPr>
          <w:rFonts w:ascii="Cambria" w:hAnsi="Cambria"/>
          <w:lang w:val="en-GB"/>
        </w:rPr>
        <w:t xml:space="preserve"> If the early reimbursement relates to only a portion of the liability (e.g. early reimbursement of 50% of the nominal amount), the liability should be split to take into account this partial early redemption clause.</w:t>
      </w:r>
    </w:p>
    <w:p w14:paraId="00F0C071" w14:textId="0681EAA6"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5</w:t>
      </w:r>
      <w:r w:rsidR="002B5DBA" w:rsidRPr="00C243CD">
        <w:rPr>
          <w:rFonts w:ascii="Cambria" w:hAnsi="Cambria"/>
          <w:lang w:val="en-GB"/>
        </w:rPr>
        <w:t>0 - Legal Maturity</w:t>
      </w:r>
    </w:p>
    <w:p w14:paraId="2F1357BD" w14:textId="77777777" w:rsidR="002B5DBA" w:rsidRPr="00C243CD" w:rsidRDefault="002B5DBA" w:rsidP="009474F1">
      <w:pPr>
        <w:rPr>
          <w:rFonts w:ascii="Cambria" w:hAnsi="Cambria"/>
          <w:lang w:val="en-GB"/>
        </w:rPr>
      </w:pPr>
      <w:r w:rsidRPr="00C243CD">
        <w:rPr>
          <w:rFonts w:ascii="Cambria" w:hAnsi="Cambria"/>
          <w:lang w:val="en-GB"/>
        </w:rPr>
        <w:t>Date of the legal, final maturity of the instrument.</w:t>
      </w:r>
      <w:r w:rsidR="00A305F3" w:rsidRPr="00C243CD">
        <w:rPr>
          <w:rFonts w:ascii="Cambria" w:hAnsi="Cambria"/>
          <w:lang w:val="en-GB"/>
        </w:rPr>
        <w:t xml:space="preserve"> For perpetual instruments, this should be ‘2099-01-31’.</w:t>
      </w:r>
    </w:p>
    <w:p w14:paraId="1419B958" w14:textId="6F3D981B"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6</w:t>
      </w:r>
      <w:r w:rsidR="002B5DBA" w:rsidRPr="00C243CD">
        <w:rPr>
          <w:rFonts w:ascii="Cambria" w:hAnsi="Cambria"/>
          <w:lang w:val="en-GB"/>
        </w:rPr>
        <w:t>0 - Secured/Unsecured</w:t>
      </w:r>
    </w:p>
    <w:p w14:paraId="39E80F1E" w14:textId="77777777" w:rsidR="00C51450" w:rsidRPr="00C243CD" w:rsidRDefault="00C51450" w:rsidP="00C51450">
      <w:pPr>
        <w:rPr>
          <w:rFonts w:ascii="Cambria" w:hAnsi="Cambria"/>
          <w:lang w:val="en-GB"/>
        </w:rPr>
      </w:pPr>
      <w:r w:rsidRPr="00C243CD">
        <w:rPr>
          <w:rFonts w:ascii="Cambria" w:hAnsi="Cambria"/>
          <w:lang w:val="en-GB"/>
        </w:rPr>
        <w:t>Distinguish between instruments that are subject to collateral agreements or not</w:t>
      </w:r>
      <w:r w:rsidR="003D0B7A" w:rsidRPr="00C243CD">
        <w:rPr>
          <w:rFonts w:ascii="Cambria" w:hAnsi="Cambria"/>
          <w:lang w:val="en-GB"/>
        </w:rPr>
        <w:t xml:space="preserve"> (i.e. secured by assets, pledge, lien or collateral)</w:t>
      </w:r>
      <w:r w:rsidRPr="00C243CD">
        <w:rPr>
          <w:rFonts w:ascii="Cambria" w:hAnsi="Cambria"/>
          <w:lang w:val="en-GB"/>
        </w:rPr>
        <w:t xml:space="preserve"> either ‘Secured’ or ‘Unsecured’ from a predefined list.</w:t>
      </w:r>
    </w:p>
    <w:p w14:paraId="1698BF31" w14:textId="3F8C800C" w:rsidR="00D17D16" w:rsidRPr="00C243CD" w:rsidRDefault="00DA3A5D" w:rsidP="00D17D16">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70</w:t>
      </w:r>
      <w:r w:rsidR="005E3190" w:rsidRPr="00C243CD">
        <w:rPr>
          <w:rFonts w:ascii="Cambria" w:hAnsi="Cambria"/>
          <w:lang w:val="en-GB"/>
        </w:rPr>
        <w:t xml:space="preserve"> - </w:t>
      </w:r>
      <w:r w:rsidR="00D17D16" w:rsidRPr="00C243CD">
        <w:rPr>
          <w:rFonts w:ascii="Cambria" w:hAnsi="Cambria"/>
          <w:lang w:val="en-GB"/>
        </w:rPr>
        <w:t>Amount of pledge, lien or collateral</w:t>
      </w:r>
    </w:p>
    <w:p w14:paraId="7CEB68F4" w14:textId="77777777" w:rsidR="00D17D16" w:rsidRPr="00C243CD" w:rsidRDefault="00D17D16" w:rsidP="00D17D16">
      <w:pPr>
        <w:rPr>
          <w:rFonts w:ascii="Cambria" w:hAnsi="Cambria"/>
          <w:lang w:val="en-GB"/>
        </w:rPr>
      </w:pPr>
      <w:r w:rsidRPr="00C243CD">
        <w:rPr>
          <w:rFonts w:ascii="Cambria" w:hAnsi="Cambria"/>
          <w:lang w:val="en-GB"/>
        </w:rPr>
        <w:t xml:space="preserve">Where a liability is secured by a pledge, lien or collateral, the gross </w:t>
      </w:r>
      <w:r w:rsidR="006A77BA" w:rsidRPr="00C243CD">
        <w:rPr>
          <w:rFonts w:ascii="Cambria" w:hAnsi="Cambria"/>
          <w:lang w:val="en-GB"/>
        </w:rPr>
        <w:t xml:space="preserve">market </w:t>
      </w:r>
      <w:r w:rsidRPr="00C243CD">
        <w:rPr>
          <w:rFonts w:ascii="Cambria" w:hAnsi="Cambria"/>
          <w:lang w:val="en-GB"/>
        </w:rPr>
        <w:t>value of the latter shall be provided. Otherwise, for unsecured liabilities this category shall be reported as nil.</w:t>
      </w:r>
      <w:r w:rsidR="00D9361E" w:rsidRPr="00C243CD">
        <w:rPr>
          <w:rFonts w:ascii="Cambria" w:hAnsi="Cambria"/>
          <w:lang w:val="en-GB"/>
        </w:rPr>
        <w:t xml:space="preserve"> This amount will determine the collateralized and eventually the uncollateralized part of any secured liability. For collateral pools securing multiple line items, the overall coverage ratio should be determined and applied </w:t>
      </w:r>
      <w:r w:rsidR="00D9361E" w:rsidRPr="00C243CD">
        <w:rPr>
          <w:rFonts w:ascii="Cambria" w:hAnsi="Cambria"/>
          <w:i/>
          <w:lang w:val="en-GB"/>
        </w:rPr>
        <w:t>pro rata</w:t>
      </w:r>
      <w:r w:rsidR="00D9361E" w:rsidRPr="00C243CD">
        <w:rPr>
          <w:rFonts w:ascii="Cambria" w:hAnsi="Cambria"/>
          <w:lang w:val="en-GB"/>
        </w:rPr>
        <w:t xml:space="preserve"> to all line items covered by this pool.</w:t>
      </w:r>
    </w:p>
    <w:p w14:paraId="6E2654A5" w14:textId="3A5175EB" w:rsidR="002B5DBA" w:rsidRPr="00C243CD" w:rsidRDefault="00DA3A5D" w:rsidP="00D17D16">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8</w:t>
      </w:r>
      <w:r w:rsidR="002B5DBA" w:rsidRPr="00C243CD">
        <w:rPr>
          <w:rFonts w:ascii="Cambria" w:hAnsi="Cambria"/>
          <w:lang w:val="en-GB"/>
        </w:rPr>
        <w:t>0 - Guarantor if applicable</w:t>
      </w:r>
    </w:p>
    <w:p w14:paraId="4F8A2F75" w14:textId="77777777" w:rsidR="00965702" w:rsidRPr="00C243CD" w:rsidRDefault="00965702" w:rsidP="009474F1">
      <w:pPr>
        <w:rPr>
          <w:rFonts w:ascii="Cambria" w:hAnsi="Cambria"/>
          <w:lang w:val="en-GB"/>
        </w:rPr>
      </w:pPr>
      <w:r w:rsidRPr="00C243CD">
        <w:rPr>
          <w:rFonts w:ascii="Cambria" w:hAnsi="Cambria"/>
          <w:lang w:val="en-GB"/>
        </w:rPr>
        <w:t>If there are guarantees provided for the instrument, please provide a detailed identification of the guarantor (LEI code, ISO 3166-1 alpha-2 country code for government, etc.).</w:t>
      </w:r>
      <w:r w:rsidR="009E6BEB" w:rsidRPr="00C243CD">
        <w:rPr>
          <w:rFonts w:ascii="Cambria" w:hAnsi="Cambria"/>
          <w:lang w:val="en-GB"/>
        </w:rPr>
        <w:t xml:space="preserve"> Where multiple guarantors are present, the identifiers should all be reported, separated by a backslash.</w:t>
      </w:r>
    </w:p>
    <w:p w14:paraId="034B7C8A" w14:textId="54B4E6D1"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9</w:t>
      </w:r>
      <w:r w:rsidR="002B5DBA" w:rsidRPr="00C243CD">
        <w:rPr>
          <w:rFonts w:ascii="Cambria" w:hAnsi="Cambria"/>
          <w:lang w:val="en-GB"/>
        </w:rPr>
        <w:t>0 - Funding Amount Provided by Any Group Entity</w:t>
      </w:r>
    </w:p>
    <w:p w14:paraId="01F5763B" w14:textId="77777777" w:rsidR="006C3BDB" w:rsidRPr="00C243CD" w:rsidRDefault="006C3BDB" w:rsidP="006C3BDB">
      <w:pPr>
        <w:rPr>
          <w:rFonts w:ascii="Cambria" w:hAnsi="Cambria"/>
          <w:lang w:val="en-GB"/>
        </w:rPr>
      </w:pPr>
      <w:r w:rsidRPr="00C243CD">
        <w:rPr>
          <w:rFonts w:ascii="Cambria" w:hAnsi="Cambria"/>
          <w:lang w:val="en-GB"/>
        </w:rPr>
        <w:t>Indicate the amount of funding that is provided to the creditor by the issuing entity or another group entity. This is in line with the BRRD requirement that eligible liabilities cannot be financed by the group/</w:t>
      </w:r>
      <w:r w:rsidR="00F400B4" w:rsidRPr="00C243CD">
        <w:rPr>
          <w:rFonts w:ascii="Cambria" w:hAnsi="Cambria"/>
          <w:lang w:val="en-GB"/>
        </w:rPr>
        <w:t>entity</w:t>
      </w:r>
      <w:r w:rsidRPr="00C243CD">
        <w:rPr>
          <w:rFonts w:ascii="Cambria" w:hAnsi="Cambria"/>
          <w:lang w:val="en-GB"/>
        </w:rPr>
        <w:t xml:space="preserve">. The aim of such a disposition is to avoid that MREL liabilities would be directly/indirectly financed by the groups and </w:t>
      </w:r>
      <w:r w:rsidR="00F400B4" w:rsidRPr="00C243CD">
        <w:rPr>
          <w:rFonts w:ascii="Cambria" w:hAnsi="Cambria"/>
          <w:lang w:val="en-GB"/>
        </w:rPr>
        <w:t>entities</w:t>
      </w:r>
      <w:r w:rsidRPr="00C243CD">
        <w:rPr>
          <w:rFonts w:ascii="Cambria" w:hAnsi="Cambria"/>
          <w:lang w:val="en-GB"/>
        </w:rPr>
        <w:t xml:space="preserve">, much in line with the provisions of article 28.1 (b) of the CRR, for which a delegated </w:t>
      </w:r>
      <w:r w:rsidRPr="00C243CD">
        <w:rPr>
          <w:rFonts w:ascii="Cambria" w:hAnsi="Cambria"/>
          <w:lang w:val="en-GB"/>
        </w:rPr>
        <w:lastRenderedPageBreak/>
        <w:t>regulation has been adopted (No 241/2014, subsection 3)</w:t>
      </w:r>
      <w:r w:rsidR="00F17C2C" w:rsidRPr="00C243CD">
        <w:rPr>
          <w:rFonts w:ascii="Cambria" w:hAnsi="Cambria"/>
          <w:lang w:val="en-GB"/>
        </w:rPr>
        <w:t xml:space="preserve"> , yet extended to all liabilities rather than own funds only</w:t>
      </w:r>
      <w:r w:rsidRPr="00C243CD">
        <w:rPr>
          <w:rFonts w:ascii="Cambria" w:hAnsi="Cambria"/>
          <w:lang w:val="en-GB"/>
        </w:rPr>
        <w:t>.</w:t>
      </w:r>
    </w:p>
    <w:p w14:paraId="40C55C79" w14:textId="30365D4A" w:rsidR="002B5DBA" w:rsidRPr="00C243CD" w:rsidRDefault="00A11BE7" w:rsidP="009474F1">
      <w:pPr>
        <w:pStyle w:val="Heading4"/>
        <w:rPr>
          <w:rFonts w:ascii="Cambria" w:hAnsi="Cambria"/>
          <w:lang w:val="en-GB"/>
        </w:rPr>
      </w:pPr>
      <w:r>
        <w:rPr>
          <w:rFonts w:ascii="Cambria" w:hAnsi="Cambria"/>
          <w:lang w:val="en-GB"/>
        </w:rPr>
        <w:t>c0</w:t>
      </w:r>
      <w:r w:rsidR="003E7184" w:rsidRPr="00C243CD">
        <w:rPr>
          <w:rFonts w:ascii="Cambria" w:hAnsi="Cambria"/>
          <w:lang w:val="en-GB"/>
        </w:rPr>
        <w:t>20</w:t>
      </w:r>
      <w:r w:rsidR="002B5DBA" w:rsidRPr="00C243CD">
        <w:rPr>
          <w:rFonts w:ascii="Cambria" w:hAnsi="Cambria"/>
          <w:lang w:val="en-GB"/>
        </w:rPr>
        <w:t>0 - Structured or other Non-Standard Terms</w:t>
      </w:r>
      <w:r w:rsidR="002B0BF8" w:rsidRPr="00C243CD">
        <w:rPr>
          <w:rStyle w:val="FootnoteReference"/>
          <w:rFonts w:ascii="Cambria" w:hAnsi="Cambria"/>
          <w:lang w:val="en-GB"/>
        </w:rPr>
        <w:footnoteReference w:id="16"/>
      </w:r>
    </w:p>
    <w:p w14:paraId="6E7970C8" w14:textId="77777777" w:rsidR="00C51450" w:rsidRPr="00C243CD" w:rsidRDefault="00C51450" w:rsidP="00C51450">
      <w:pPr>
        <w:rPr>
          <w:rFonts w:ascii="Cambria" w:hAnsi="Cambria"/>
          <w:lang w:val="en-GB"/>
        </w:rPr>
      </w:pPr>
      <w:r w:rsidRPr="00C243CD">
        <w:rPr>
          <w:rFonts w:ascii="Cambria" w:hAnsi="Cambria"/>
          <w:lang w:val="en-GB"/>
        </w:rPr>
        <w:t>Please indicate if the instrument is to be considered as structured (cf. above) or contains specific non-standard terms, either ‘Non-structured/Vanilla’, ‘Structured’ or ‘Other non-standard terms’ from a predefined list.</w:t>
      </w:r>
    </w:p>
    <w:p w14:paraId="3DE39C9E" w14:textId="684685D1" w:rsidR="00BC1A72" w:rsidRDefault="00BC1A72" w:rsidP="009474F1">
      <w:pPr>
        <w:pStyle w:val="Heading4"/>
        <w:rPr>
          <w:rFonts w:ascii="Cambria" w:hAnsi="Cambria"/>
          <w:lang w:val="en-GB"/>
        </w:rPr>
      </w:pPr>
      <w:r>
        <w:rPr>
          <w:rFonts w:ascii="Cambria" w:hAnsi="Cambria"/>
          <w:lang w:val="en-GB"/>
        </w:rPr>
        <w:t>c0205 – Amount meeting the conditions for MREL eligibility</w:t>
      </w:r>
    </w:p>
    <w:p w14:paraId="1A1BF52D" w14:textId="561D521A" w:rsidR="00BC1A72" w:rsidRDefault="00BC1A72" w:rsidP="009474F1">
      <w:pPr>
        <w:pStyle w:val="Heading4"/>
        <w:rPr>
          <w:rFonts w:ascii="Cambria" w:hAnsi="Cambria"/>
          <w:lang w:val="en-GB"/>
        </w:rPr>
      </w:pPr>
      <w:commentRangeStart w:id="215"/>
      <w:r w:rsidRPr="00BC1A72">
        <w:rPr>
          <w:rFonts w:ascii="Cambria" w:eastAsiaTheme="minorHAnsi" w:hAnsi="Cambria" w:cstheme="minorBidi"/>
          <w:i w:val="0"/>
          <w:iCs w:val="0"/>
          <w:color w:val="auto"/>
          <w:lang w:val="en-GB"/>
        </w:rPr>
        <w:t>The outstanding amount of the MREL eligible liabilities calculated according to Article 45(4)(a) and (c) to (f) of the Directive 2014/59/EU. For this purpose, liabilities shall not be excluded from the calculation on the sole ground that they are issued to or held by a group entity.</w:t>
      </w:r>
      <w:commentRangeEnd w:id="215"/>
      <w:r w:rsidR="004A1962">
        <w:rPr>
          <w:rStyle w:val="CommentReference"/>
          <w:rFonts w:ascii="Cambria" w:eastAsia="MS Mincho" w:hAnsi="Cambria" w:cs="Times New Roman"/>
          <w:i w:val="0"/>
          <w:iCs w:val="0"/>
          <w:color w:val="auto"/>
          <w:lang w:val="en-US"/>
        </w:rPr>
        <w:commentReference w:id="215"/>
      </w:r>
    </w:p>
    <w:p w14:paraId="43E89142" w14:textId="3B612D84" w:rsidR="002B5DBA" w:rsidRPr="00C243CD" w:rsidRDefault="00A11BE7" w:rsidP="009474F1">
      <w:pPr>
        <w:pStyle w:val="Heading4"/>
        <w:rPr>
          <w:rFonts w:ascii="Cambria" w:hAnsi="Cambria"/>
          <w:lang w:val="en-GB"/>
        </w:rPr>
      </w:pPr>
      <w:r>
        <w:rPr>
          <w:rFonts w:ascii="Cambria" w:hAnsi="Cambria"/>
          <w:lang w:val="en-GB"/>
        </w:rPr>
        <w:t>c0</w:t>
      </w:r>
      <w:r w:rsidR="003E7184" w:rsidRPr="00C243CD">
        <w:rPr>
          <w:rFonts w:ascii="Cambria" w:hAnsi="Cambria"/>
          <w:lang w:val="en-GB"/>
        </w:rPr>
        <w:t>21</w:t>
      </w:r>
      <w:r w:rsidR="002B5DBA" w:rsidRPr="00C243CD">
        <w:rPr>
          <w:rFonts w:ascii="Cambria" w:hAnsi="Cambria"/>
          <w:lang w:val="en-GB"/>
        </w:rPr>
        <w:t>0 - Qualifying as Own Funds</w:t>
      </w:r>
    </w:p>
    <w:p w14:paraId="4C195A55" w14:textId="77777777" w:rsidR="00FB02CE" w:rsidRPr="00C243CD" w:rsidRDefault="00FB02CE" w:rsidP="00FB02CE">
      <w:pPr>
        <w:rPr>
          <w:rFonts w:ascii="Cambria" w:hAnsi="Cambria"/>
          <w:lang w:val="en-GB"/>
        </w:rPr>
      </w:pPr>
      <w:r w:rsidRPr="00C243CD">
        <w:rPr>
          <w:rFonts w:ascii="Cambria" w:hAnsi="Cambria"/>
          <w:lang w:val="en-GB"/>
        </w:rPr>
        <w:t xml:space="preserve">Please indicate </w:t>
      </w:r>
      <w:r w:rsidR="00935A83" w:rsidRPr="00C243CD">
        <w:rPr>
          <w:rFonts w:ascii="Cambria" w:hAnsi="Cambria"/>
          <w:lang w:val="en-GB"/>
        </w:rPr>
        <w:t>if and</w:t>
      </w:r>
      <w:r w:rsidRPr="00C243CD">
        <w:rPr>
          <w:rFonts w:ascii="Cambria" w:hAnsi="Cambria"/>
          <w:lang w:val="en-GB"/>
        </w:rPr>
        <w:t xml:space="preserve"> at which </w:t>
      </w:r>
      <w:r w:rsidR="00935A83" w:rsidRPr="00C243CD">
        <w:rPr>
          <w:rFonts w:ascii="Cambria" w:hAnsi="Cambria"/>
          <w:lang w:val="en-GB"/>
        </w:rPr>
        <w:t xml:space="preserve">level </w:t>
      </w:r>
      <w:r w:rsidRPr="00C243CD">
        <w:rPr>
          <w:rFonts w:ascii="Cambria" w:hAnsi="Cambria"/>
          <w:lang w:val="en-GB"/>
        </w:rPr>
        <w:t>the instrument is included in the own funds, alongside information on the phase-out regime and grandfathering arrangements. Value can be ‘No’,</w:t>
      </w:r>
      <w:r w:rsidR="00DC2AA2" w:rsidRPr="00C243CD">
        <w:rPr>
          <w:rFonts w:ascii="Cambria" w:hAnsi="Cambria"/>
          <w:lang w:val="en-GB"/>
        </w:rPr>
        <w:t xml:space="preserve"> ‘Partially (A)T1 and T2’,</w:t>
      </w:r>
      <w:r w:rsidRPr="00C243CD">
        <w:rPr>
          <w:rFonts w:ascii="Cambria" w:hAnsi="Cambria"/>
          <w:lang w:val="en-GB"/>
        </w:rPr>
        <w:t xml:space="preserve"> ‘T2 in phase-out’, ‘Grandfathered T2’, ‘Fully Compliant T2’, ‘Grandfathered AT1’, ‘Fully Compliant AT1’ or ‘CET1’ from a predefined list.</w:t>
      </w:r>
    </w:p>
    <w:p w14:paraId="03AB420E" w14:textId="037F00BA" w:rsidR="002B5DBA" w:rsidRPr="00C243CD" w:rsidRDefault="00A11BE7" w:rsidP="009474F1">
      <w:pPr>
        <w:pStyle w:val="Heading4"/>
        <w:rPr>
          <w:rFonts w:ascii="Cambria" w:hAnsi="Cambria"/>
          <w:lang w:val="en-GB"/>
        </w:rPr>
      </w:pPr>
      <w:r>
        <w:rPr>
          <w:rFonts w:ascii="Cambria" w:hAnsi="Cambria"/>
          <w:lang w:val="en-GB"/>
        </w:rPr>
        <w:t>c0</w:t>
      </w:r>
      <w:r w:rsidR="002B5DBA" w:rsidRPr="00C243CD">
        <w:rPr>
          <w:rFonts w:ascii="Cambria" w:hAnsi="Cambria"/>
          <w:lang w:val="en-GB"/>
        </w:rPr>
        <w:t>2</w:t>
      </w:r>
      <w:r w:rsidR="003E7184" w:rsidRPr="00C243CD">
        <w:rPr>
          <w:rFonts w:ascii="Cambria" w:hAnsi="Cambria"/>
          <w:lang w:val="en-GB"/>
        </w:rPr>
        <w:t>2</w:t>
      </w:r>
      <w:r w:rsidR="002B5DBA" w:rsidRPr="00C243CD">
        <w:rPr>
          <w:rFonts w:ascii="Cambria" w:hAnsi="Cambria"/>
          <w:lang w:val="en-GB"/>
        </w:rPr>
        <w:t>0 - Amount Included in Own Funds, taking into account phase-out as applicable</w:t>
      </w:r>
    </w:p>
    <w:p w14:paraId="5C11B806" w14:textId="77777777" w:rsidR="002B5DBA" w:rsidRPr="00C243CD" w:rsidRDefault="00FC47FC" w:rsidP="009474F1">
      <w:pPr>
        <w:rPr>
          <w:rFonts w:ascii="Cambria" w:hAnsi="Cambria"/>
          <w:lang w:val="en-GB"/>
        </w:rPr>
      </w:pPr>
      <w:r w:rsidRPr="00C243CD">
        <w:rPr>
          <w:rFonts w:ascii="Cambria" w:hAnsi="Cambria"/>
          <w:lang w:val="en-GB"/>
        </w:rPr>
        <w:t>The actual amount in EUR of the instrument qualifying as own funds.</w:t>
      </w:r>
    </w:p>
    <w:p w14:paraId="2ECDAD13" w14:textId="77777777" w:rsidR="00A05BB4" w:rsidRPr="00C243CD" w:rsidRDefault="00A05BB4">
      <w:pPr>
        <w:spacing w:after="160" w:line="259" w:lineRule="auto"/>
        <w:jc w:val="left"/>
        <w:rPr>
          <w:rFonts w:ascii="Cambria" w:hAnsi="Cambria"/>
          <w:lang w:val="en-GB"/>
        </w:rPr>
      </w:pPr>
      <w:r w:rsidRPr="00C243CD">
        <w:rPr>
          <w:rFonts w:ascii="Cambria" w:hAnsi="Cambria"/>
          <w:lang w:val="en-GB"/>
        </w:rPr>
        <w:br w:type="page"/>
      </w:r>
    </w:p>
    <w:p w14:paraId="23758526" w14:textId="77777777" w:rsidR="00A05BB4" w:rsidRPr="00C243CD" w:rsidRDefault="00A05BB4">
      <w:pPr>
        <w:spacing w:after="160" w:line="259" w:lineRule="auto"/>
        <w:jc w:val="left"/>
        <w:rPr>
          <w:rFonts w:ascii="Cambria" w:hAnsi="Cambria"/>
          <w:lang w:val="en-GB"/>
        </w:rPr>
        <w:sectPr w:rsidR="00A05BB4" w:rsidRPr="00C243CD" w:rsidSect="00AC044E">
          <w:pgSz w:w="11906" w:h="16838"/>
          <w:pgMar w:top="2552" w:right="1440" w:bottom="1440" w:left="1440" w:header="708" w:footer="708" w:gutter="0"/>
          <w:cols w:space="708"/>
          <w:titlePg/>
          <w:docGrid w:linePitch="360"/>
        </w:sectPr>
      </w:pPr>
    </w:p>
    <w:p w14:paraId="6E81D513" w14:textId="77777777" w:rsidR="00C8142A" w:rsidRPr="00C243CD" w:rsidRDefault="00A05BB4">
      <w:pPr>
        <w:spacing w:after="160" w:line="259" w:lineRule="auto"/>
        <w:jc w:val="left"/>
        <w:rPr>
          <w:rFonts w:ascii="Cambria" w:eastAsiaTheme="majorEastAsia" w:hAnsi="Cambria" w:cstheme="majorBidi"/>
          <w:sz w:val="24"/>
          <w:szCs w:val="24"/>
          <w:u w:val="single"/>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46" behindDoc="0" locked="0" layoutInCell="1" allowOverlap="1" wp14:anchorId="6B480781" wp14:editId="4554C8B0">
                <wp:simplePos x="0" y="0"/>
                <wp:positionH relativeFrom="page">
                  <wp:align>center</wp:align>
                </wp:positionH>
                <wp:positionV relativeFrom="paragraph">
                  <wp:posOffset>592372</wp:posOffset>
                </wp:positionV>
                <wp:extent cx="9764202" cy="5959475"/>
                <wp:effectExtent l="0" t="0" r="27940" b="15875"/>
                <wp:wrapNone/>
                <wp:docPr id="24" name="Text Box 24"/>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6B4AE" w14:textId="77777777" w:rsidR="002D45CF" w:rsidRPr="00991041" w:rsidRDefault="002D45CF" w:rsidP="00A05BB4">
                            <w:pPr>
                              <w:rPr>
                                <w:b/>
                                <w:lang w:val="en-GB"/>
                              </w:rPr>
                            </w:pPr>
                            <w:r>
                              <w:rPr>
                                <w:b/>
                                <w:lang w:val="en-GB"/>
                              </w:rPr>
                              <w:t>Simplified e</w:t>
                            </w:r>
                            <w:r w:rsidRPr="00991041">
                              <w:rPr>
                                <w:b/>
                                <w:lang w:val="en-GB"/>
                              </w:rPr>
                              <w:t>xample</w:t>
                            </w:r>
                          </w:p>
                          <w:p w14:paraId="0BEE7C96" w14:textId="77777777" w:rsidR="002D45CF" w:rsidRPr="00991041" w:rsidRDefault="002D45CF" w:rsidP="00A05BB4">
                            <w:pPr>
                              <w:rPr>
                                <w:lang w:val="en-GB"/>
                              </w:rPr>
                            </w:pPr>
                          </w:p>
                          <w:p w14:paraId="572E4641" w14:textId="77777777" w:rsidR="002D45CF" w:rsidRPr="00A10180" w:rsidRDefault="002D45CF" w:rsidP="00A05BB4">
                            <w:pPr>
                              <w:rPr>
                                <w:lang w:val="en-GB"/>
                              </w:rPr>
                            </w:pPr>
                            <w:r>
                              <w:rPr>
                                <w:lang w:val="en-GB"/>
                              </w:rPr>
                              <w:t>The reporting entity has received a subordinated loan of EUR 1 billion from another institution, not included in the group’s accounting consolidation, located in Germany</w:t>
                            </w:r>
                            <w:r w:rsidRPr="00247671">
                              <w:rPr>
                                <w:lang w:val="en-GB"/>
                              </w:rPr>
                              <w:t>.</w:t>
                            </w:r>
                            <w:r>
                              <w:rPr>
                                <w:lang w:val="en-GB"/>
                              </w:rPr>
                              <w:t xml:space="preserve"> It has been granted on 1 January 2016 and will mature on 31 December 2025 with an annually payable interest rate of 5%. This loan qualifies as a Tier 2 instrument. </w:t>
                            </w:r>
                            <w:r w:rsidRPr="00247671">
                              <w:rPr>
                                <w:lang w:val="en-GB"/>
                              </w:rPr>
                              <w:t xml:space="preserve">The applicable law of the </w:t>
                            </w:r>
                            <w:r>
                              <w:rPr>
                                <w:lang w:val="en-GB"/>
                              </w:rPr>
                              <w:t>loan</w:t>
                            </w:r>
                            <w:r w:rsidRPr="00247671">
                              <w:rPr>
                                <w:lang w:val="en-GB"/>
                              </w:rPr>
                              <w:t xml:space="preserve"> is the one of </w:t>
                            </w:r>
                            <w:r>
                              <w:rPr>
                                <w:lang w:val="en-GB"/>
                              </w:rPr>
                              <w:t>Germany</w:t>
                            </w:r>
                            <w:r w:rsidRPr="00247671">
                              <w:rPr>
                                <w:lang w:val="en-GB"/>
                              </w:rPr>
                              <w:t>.</w:t>
                            </w:r>
                            <w:r>
                              <w:rPr>
                                <w:lang w:val="en-GB"/>
                              </w:rPr>
                              <w:t xml:space="preserve"> The insolvency ranking of the subordinated loan under the law of the country where the reporting institution is incorporated is equal to 3.</w:t>
                            </w:r>
                          </w:p>
                          <w:p w14:paraId="254A1B8F" w14:textId="77777777" w:rsidR="002D45CF" w:rsidRDefault="002D45CF" w:rsidP="00A05BB4">
                            <w:pPr>
                              <w:rPr>
                                <w:lang w:val="en-GB"/>
                              </w:rPr>
                            </w:pPr>
                          </w:p>
                          <w:p w14:paraId="270FFEAA" w14:textId="2D5AD423" w:rsidR="002D45CF" w:rsidRDefault="001C7C38" w:rsidP="00A05BB4">
                            <w:pPr>
                              <w:rPr>
                                <w:lang w:val="en-GB"/>
                              </w:rPr>
                            </w:pPr>
                            <w:r>
                              <w:rPr>
                                <w:lang w:val="en-GB"/>
                              </w:rPr>
                              <w:t>As at 31 December 2019</w:t>
                            </w:r>
                            <w:r w:rsidR="002D45CF">
                              <w:rPr>
                                <w:lang w:val="en-GB"/>
                              </w:rPr>
                              <w:t>, the entity should report this Tier 2 instrument as follows:</w:t>
                            </w:r>
                          </w:p>
                          <w:p w14:paraId="2BA97EB3" w14:textId="77777777" w:rsidR="002D45CF" w:rsidRDefault="002D45CF" w:rsidP="00A05BB4">
                            <w:pPr>
                              <w:rPr>
                                <w:lang w:val="en-GB"/>
                              </w:rPr>
                            </w:pPr>
                          </w:p>
                          <w:p w14:paraId="719BC59C" w14:textId="080C32A8" w:rsidR="002D45CF" w:rsidRDefault="001C7C38" w:rsidP="00A05BB4">
                            <w:pPr>
                              <w:rPr>
                                <w:lang w:val="en-GB"/>
                              </w:rPr>
                            </w:pPr>
                            <w:r w:rsidRPr="001C7C38">
                              <w:drawing>
                                <wp:inline distT="0" distB="0" distL="0" distR="0" wp14:anchorId="56FFFB98" wp14:editId="053BF8AB">
                                  <wp:extent cx="9596087" cy="1589964"/>
                                  <wp:effectExtent l="0" t="0" r="571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655001" cy="1599725"/>
                                          </a:xfrm>
                                          <a:prstGeom prst="rect">
                                            <a:avLst/>
                                          </a:prstGeom>
                                          <a:noFill/>
                                          <a:ln>
                                            <a:noFill/>
                                          </a:ln>
                                        </pic:spPr>
                                      </pic:pic>
                                    </a:graphicData>
                                  </a:graphic>
                                </wp:inline>
                              </w:drawing>
                            </w:r>
                          </w:p>
                          <w:p w14:paraId="6B46514D" w14:textId="77777777" w:rsidR="002D45CF" w:rsidRDefault="002D45CF" w:rsidP="00A05BB4">
                            <w:pPr>
                              <w:rPr>
                                <w:lang w:val="en-GB"/>
                              </w:rPr>
                            </w:pPr>
                          </w:p>
                          <w:p w14:paraId="03A9F8AD" w14:textId="094AD687" w:rsidR="002D45CF" w:rsidRPr="00991041" w:rsidRDefault="001C7C38" w:rsidP="00A05BB4">
                            <w:pPr>
                              <w:rPr>
                                <w:lang w:val="en-GB"/>
                              </w:rPr>
                            </w:pPr>
                            <w:r w:rsidRPr="001C7C38">
                              <w:drawing>
                                <wp:inline distT="0" distB="0" distL="0" distR="0" wp14:anchorId="1714B19E" wp14:editId="3373ED77">
                                  <wp:extent cx="9561638" cy="1774209"/>
                                  <wp:effectExtent l="0" t="0" r="190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654276" cy="17913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480781" id="Text Box 24" o:spid="_x0000_s1034" type="#_x0000_t202" style="position:absolute;margin-left:0;margin-top:46.65pt;width:768.85pt;height:469.25pt;z-index:25165824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" fillcolor="white [3201]" strokeweight=".5pt">
                <v:textbox style="mso-fit-shape-to-text:t">
                  <w:txbxContent>
                    <w:p w14:paraId="7426B4AE" w14:textId="77777777" w:rsidR="002D45CF" w:rsidRPr="00991041" w:rsidRDefault="002D45CF" w:rsidP="00A05BB4">
                      <w:pPr>
                        <w:rPr>
                          <w:b/>
                          <w:lang w:val="en-GB"/>
                        </w:rPr>
                      </w:pPr>
                      <w:r>
                        <w:rPr>
                          <w:b/>
                          <w:lang w:val="en-GB"/>
                        </w:rPr>
                        <w:t>Simplified e</w:t>
                      </w:r>
                      <w:r w:rsidRPr="00991041">
                        <w:rPr>
                          <w:b/>
                          <w:lang w:val="en-GB"/>
                        </w:rPr>
                        <w:t>xample</w:t>
                      </w:r>
                    </w:p>
                    <w:p w14:paraId="0BEE7C96" w14:textId="77777777" w:rsidR="002D45CF" w:rsidRPr="00991041" w:rsidRDefault="002D45CF" w:rsidP="00A05BB4">
                      <w:pPr>
                        <w:rPr>
                          <w:lang w:val="en-GB"/>
                        </w:rPr>
                      </w:pPr>
                    </w:p>
                    <w:p w14:paraId="572E4641" w14:textId="77777777" w:rsidR="002D45CF" w:rsidRPr="00A10180" w:rsidRDefault="002D45CF" w:rsidP="00A05BB4">
                      <w:pPr>
                        <w:rPr>
                          <w:lang w:val="en-GB"/>
                        </w:rPr>
                      </w:pPr>
                      <w:r>
                        <w:rPr>
                          <w:lang w:val="en-GB"/>
                        </w:rPr>
                        <w:t>The reporting entity has received a subordinated loan of EUR 1 billion from another institution, not included in the group’s accounting consolidation, located in Germany</w:t>
                      </w:r>
                      <w:r w:rsidRPr="00247671">
                        <w:rPr>
                          <w:lang w:val="en-GB"/>
                        </w:rPr>
                        <w:t>.</w:t>
                      </w:r>
                      <w:r>
                        <w:rPr>
                          <w:lang w:val="en-GB"/>
                        </w:rPr>
                        <w:t xml:space="preserve"> It has been granted on 1 January 2016 and will mature on 31 December 2025 with an annually payable interest rate of 5%. This loan qualifies as a Tier 2 instrument. </w:t>
                      </w:r>
                      <w:r w:rsidRPr="00247671">
                        <w:rPr>
                          <w:lang w:val="en-GB"/>
                        </w:rPr>
                        <w:t xml:space="preserve">The applicable law of the </w:t>
                      </w:r>
                      <w:r>
                        <w:rPr>
                          <w:lang w:val="en-GB"/>
                        </w:rPr>
                        <w:t>loan</w:t>
                      </w:r>
                      <w:r w:rsidRPr="00247671">
                        <w:rPr>
                          <w:lang w:val="en-GB"/>
                        </w:rPr>
                        <w:t xml:space="preserve"> is the one of </w:t>
                      </w:r>
                      <w:r>
                        <w:rPr>
                          <w:lang w:val="en-GB"/>
                        </w:rPr>
                        <w:t>Germany</w:t>
                      </w:r>
                      <w:r w:rsidRPr="00247671">
                        <w:rPr>
                          <w:lang w:val="en-GB"/>
                        </w:rPr>
                        <w:t>.</w:t>
                      </w:r>
                      <w:r>
                        <w:rPr>
                          <w:lang w:val="en-GB"/>
                        </w:rPr>
                        <w:t xml:space="preserve"> The insolvency ranking of the subordinated loan under the law of the country where the reporting institution is incorporated is equal to 3.</w:t>
                      </w:r>
                    </w:p>
                    <w:p w14:paraId="254A1B8F" w14:textId="77777777" w:rsidR="002D45CF" w:rsidRDefault="002D45CF" w:rsidP="00A05BB4">
                      <w:pPr>
                        <w:rPr>
                          <w:lang w:val="en-GB"/>
                        </w:rPr>
                      </w:pPr>
                    </w:p>
                    <w:p w14:paraId="270FFEAA" w14:textId="2D5AD423" w:rsidR="002D45CF" w:rsidRDefault="001C7C38" w:rsidP="00A05BB4">
                      <w:pPr>
                        <w:rPr>
                          <w:lang w:val="en-GB"/>
                        </w:rPr>
                      </w:pPr>
                      <w:r>
                        <w:rPr>
                          <w:lang w:val="en-GB"/>
                        </w:rPr>
                        <w:t>As at 31 December 2019</w:t>
                      </w:r>
                      <w:r w:rsidR="002D45CF">
                        <w:rPr>
                          <w:lang w:val="en-GB"/>
                        </w:rPr>
                        <w:t>, the entity should report this Tier 2 instrument as follows:</w:t>
                      </w:r>
                    </w:p>
                    <w:p w14:paraId="2BA97EB3" w14:textId="77777777" w:rsidR="002D45CF" w:rsidRDefault="002D45CF" w:rsidP="00A05BB4">
                      <w:pPr>
                        <w:rPr>
                          <w:lang w:val="en-GB"/>
                        </w:rPr>
                      </w:pPr>
                    </w:p>
                    <w:p w14:paraId="719BC59C" w14:textId="080C32A8" w:rsidR="002D45CF" w:rsidRDefault="001C7C38" w:rsidP="00A05BB4">
                      <w:pPr>
                        <w:rPr>
                          <w:lang w:val="en-GB"/>
                        </w:rPr>
                      </w:pPr>
                      <w:r w:rsidRPr="001C7C38">
                        <w:drawing>
                          <wp:inline distT="0" distB="0" distL="0" distR="0" wp14:anchorId="56FFFB98" wp14:editId="053BF8AB">
                            <wp:extent cx="9596087" cy="1589964"/>
                            <wp:effectExtent l="0" t="0" r="571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655001" cy="1599725"/>
                                    </a:xfrm>
                                    <a:prstGeom prst="rect">
                                      <a:avLst/>
                                    </a:prstGeom>
                                    <a:noFill/>
                                    <a:ln>
                                      <a:noFill/>
                                    </a:ln>
                                  </pic:spPr>
                                </pic:pic>
                              </a:graphicData>
                            </a:graphic>
                          </wp:inline>
                        </w:drawing>
                      </w:r>
                    </w:p>
                    <w:p w14:paraId="6B46514D" w14:textId="77777777" w:rsidR="002D45CF" w:rsidRDefault="002D45CF" w:rsidP="00A05BB4">
                      <w:pPr>
                        <w:rPr>
                          <w:lang w:val="en-GB"/>
                        </w:rPr>
                      </w:pPr>
                    </w:p>
                    <w:p w14:paraId="03A9F8AD" w14:textId="094AD687" w:rsidR="002D45CF" w:rsidRPr="00991041" w:rsidRDefault="001C7C38" w:rsidP="00A05BB4">
                      <w:pPr>
                        <w:rPr>
                          <w:lang w:val="en-GB"/>
                        </w:rPr>
                      </w:pPr>
                      <w:r w:rsidRPr="001C7C38">
                        <w:drawing>
                          <wp:inline distT="0" distB="0" distL="0" distR="0" wp14:anchorId="1714B19E" wp14:editId="3373ED77">
                            <wp:extent cx="9561638" cy="1774209"/>
                            <wp:effectExtent l="0" t="0" r="190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654276" cy="1791398"/>
                                    </a:xfrm>
                                    <a:prstGeom prst="rect">
                                      <a:avLst/>
                                    </a:prstGeom>
                                    <a:noFill/>
                                    <a:ln>
                                      <a:noFill/>
                                    </a:ln>
                                  </pic:spPr>
                                </pic:pic>
                              </a:graphicData>
                            </a:graphic>
                          </wp:inline>
                        </w:drawing>
                      </w:r>
                    </w:p>
                  </w:txbxContent>
                </v:textbox>
                <w10:wrap anchorx="page"/>
              </v:shape>
            </w:pict>
          </mc:Fallback>
        </mc:AlternateContent>
      </w:r>
      <w:r w:rsidR="00C8142A" w:rsidRPr="00C243CD">
        <w:rPr>
          <w:rFonts w:ascii="Cambria" w:hAnsi="Cambria"/>
          <w:lang w:val="en-GB"/>
        </w:rPr>
        <w:br w:type="page"/>
      </w:r>
    </w:p>
    <w:p w14:paraId="05D824AE" w14:textId="77777777" w:rsidR="00A05BB4" w:rsidRPr="00C243CD" w:rsidRDefault="00A05BB4" w:rsidP="00B27610">
      <w:pPr>
        <w:pStyle w:val="Heading3"/>
        <w:numPr>
          <w:ilvl w:val="0"/>
          <w:numId w:val="22"/>
        </w:numPr>
        <w:ind w:left="426" w:hanging="426"/>
        <w:rPr>
          <w:rFonts w:ascii="Cambria" w:hAnsi="Cambria"/>
          <w:lang w:val="en-GB"/>
        </w:rPr>
        <w:sectPr w:rsidR="00A05BB4" w:rsidRPr="00C243CD" w:rsidSect="00991041">
          <w:pgSz w:w="16838" w:h="11906" w:orient="landscape"/>
          <w:pgMar w:top="1440" w:right="2552" w:bottom="1440" w:left="1440" w:header="709" w:footer="709" w:gutter="0"/>
          <w:cols w:space="708"/>
          <w:titlePg/>
          <w:docGrid w:linePitch="360"/>
        </w:sectPr>
      </w:pPr>
    </w:p>
    <w:p w14:paraId="5003D48B" w14:textId="77777777" w:rsidR="002B5DBA" w:rsidRPr="00C243CD" w:rsidRDefault="002B5DBA" w:rsidP="00B27610">
      <w:pPr>
        <w:pStyle w:val="Heading3"/>
        <w:numPr>
          <w:ilvl w:val="0"/>
          <w:numId w:val="22"/>
        </w:numPr>
        <w:ind w:left="426" w:hanging="426"/>
        <w:rPr>
          <w:rFonts w:ascii="Cambria" w:hAnsi="Cambria"/>
          <w:lang w:val="en-GB"/>
        </w:rPr>
      </w:pPr>
      <w:bookmarkStart w:id="216" w:name="_Toc12973030"/>
      <w:bookmarkStart w:id="217" w:name="_Toc13755760"/>
      <w:r w:rsidRPr="00C243CD">
        <w:rPr>
          <w:rFonts w:ascii="Cambria" w:hAnsi="Cambria"/>
          <w:lang w:val="en-GB"/>
        </w:rPr>
        <w:lastRenderedPageBreak/>
        <w:t>T07.00</w:t>
      </w:r>
      <w:r w:rsidR="009202A4" w:rsidRPr="00C243CD">
        <w:rPr>
          <w:rFonts w:ascii="Cambria" w:hAnsi="Cambria"/>
          <w:lang w:val="en-GB"/>
        </w:rPr>
        <w:t xml:space="preserve"> - Derivatives</w:t>
      </w:r>
      <w:bookmarkEnd w:id="216"/>
      <w:bookmarkEnd w:id="217"/>
    </w:p>
    <w:p w14:paraId="3DFDAE37" w14:textId="28E93A3D" w:rsidR="005C174B" w:rsidRPr="00C243CD" w:rsidRDefault="005C174B" w:rsidP="00991041">
      <w:pPr>
        <w:rPr>
          <w:rFonts w:ascii="Cambria" w:hAnsi="Cambria"/>
          <w:lang w:val="en-GB"/>
        </w:rPr>
      </w:pPr>
      <w:r w:rsidRPr="00C243CD">
        <w:rPr>
          <w:rFonts w:ascii="Cambria" w:hAnsi="Cambria"/>
          <w:lang w:val="en-GB"/>
        </w:rPr>
        <w:t xml:space="preserve">For the purposes of this table, derivatives have to be reported </w:t>
      </w:r>
      <w:r w:rsidR="00233C00" w:rsidRPr="00C243CD">
        <w:rPr>
          <w:rFonts w:ascii="Cambria" w:hAnsi="Cambria"/>
          <w:lang w:val="en-GB"/>
        </w:rPr>
        <w:t>by</w:t>
      </w:r>
      <w:r w:rsidRPr="00C243CD">
        <w:rPr>
          <w:rFonts w:ascii="Cambria" w:hAnsi="Cambria"/>
          <w:lang w:val="en-GB"/>
        </w:rPr>
        <w:t xml:space="preserve"> </w:t>
      </w:r>
      <w:r w:rsidR="00233C00" w:rsidRPr="00C243CD">
        <w:rPr>
          <w:rFonts w:ascii="Cambria" w:hAnsi="Cambria"/>
          <w:lang w:val="en-GB"/>
        </w:rPr>
        <w:t>netting</w:t>
      </w:r>
      <w:r w:rsidRPr="00C243CD">
        <w:rPr>
          <w:rFonts w:ascii="Cambria" w:hAnsi="Cambria"/>
          <w:lang w:val="en-GB"/>
        </w:rPr>
        <w:t xml:space="preserve"> </w:t>
      </w:r>
      <w:r w:rsidR="00233C00" w:rsidRPr="00C243CD">
        <w:rPr>
          <w:rFonts w:ascii="Cambria" w:hAnsi="Cambria"/>
          <w:lang w:val="en-GB"/>
        </w:rPr>
        <w:t>set</w:t>
      </w:r>
      <w:r w:rsidRPr="00C243CD">
        <w:rPr>
          <w:rFonts w:ascii="Cambria" w:hAnsi="Cambria"/>
          <w:lang w:val="en-GB"/>
        </w:rPr>
        <w:t xml:space="preserve">, i.e. each </w:t>
      </w:r>
      <w:r w:rsidR="00233C00" w:rsidRPr="00C243CD">
        <w:rPr>
          <w:rFonts w:ascii="Cambria" w:hAnsi="Cambria"/>
          <w:lang w:val="en-GB"/>
        </w:rPr>
        <w:t xml:space="preserve">netting set </w:t>
      </w:r>
      <w:r w:rsidRPr="00C243CD">
        <w:rPr>
          <w:rFonts w:ascii="Cambria" w:hAnsi="Cambria"/>
          <w:lang w:val="en-GB"/>
        </w:rPr>
        <w:t>reported as an individual line item.</w:t>
      </w:r>
      <w:r w:rsidR="00E92F58" w:rsidRPr="00C243CD">
        <w:rPr>
          <w:rFonts w:ascii="Cambria" w:hAnsi="Cambria"/>
          <w:lang w:val="en-GB"/>
        </w:rPr>
        <w:t xml:space="preserve"> No reporting thresholds are applicable in this respect.</w:t>
      </w:r>
      <w:r w:rsidR="00F17C2C" w:rsidRPr="00C243CD">
        <w:rPr>
          <w:rFonts w:ascii="Cambria" w:hAnsi="Cambria"/>
          <w:lang w:val="en-GB"/>
        </w:rPr>
        <w:t xml:space="preserve"> Only the derivative netting sets/single contracts resulting in a net mark-to-market (cf. </w:t>
      </w:r>
      <w:r w:rsidR="00DA3A5D" w:rsidRPr="00C243CD">
        <w:rPr>
          <w:rFonts w:ascii="Cambria" w:hAnsi="Cambria"/>
          <w:lang w:val="en-GB"/>
        </w:rPr>
        <w:t>c01</w:t>
      </w:r>
      <w:r w:rsidR="00F17C2C" w:rsidRPr="00C243CD">
        <w:rPr>
          <w:rFonts w:ascii="Cambria" w:hAnsi="Cambria"/>
          <w:lang w:val="en-GB"/>
        </w:rPr>
        <w:t>20) liability should be reported.</w:t>
      </w:r>
    </w:p>
    <w:p w14:paraId="48114607" w14:textId="166BF2A1" w:rsidR="004F470B" w:rsidRPr="00C243CD" w:rsidRDefault="00DA3A5D" w:rsidP="004F470B">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10 - N°</w:t>
      </w:r>
    </w:p>
    <w:p w14:paraId="59B85069" w14:textId="3BC04780" w:rsidR="004F470B" w:rsidRDefault="004F470B" w:rsidP="004F470B">
      <w:pPr>
        <w:rPr>
          <w:rFonts w:ascii="Cambria" w:hAnsi="Cambria"/>
          <w:lang w:val="en-GB"/>
        </w:rPr>
      </w:pPr>
      <w:r w:rsidRPr="00C243CD">
        <w:rPr>
          <w:rFonts w:ascii="Cambria" w:hAnsi="Cambria"/>
          <w:lang w:val="en-GB"/>
        </w:rPr>
        <w:t>Unique number/primary key to identify the line items.</w:t>
      </w:r>
    </w:p>
    <w:p w14:paraId="0EF1AC22" w14:textId="4CAAF7BC" w:rsidR="00DA5C81" w:rsidRPr="00C243CD" w:rsidRDefault="00DA3A5D" w:rsidP="009474F1">
      <w:pPr>
        <w:pStyle w:val="Heading4"/>
        <w:rPr>
          <w:rFonts w:ascii="Cambria" w:hAnsi="Cambria"/>
          <w:lang w:val="en-GB"/>
        </w:rPr>
      </w:pPr>
      <w:r w:rsidRPr="00C243CD">
        <w:rPr>
          <w:rFonts w:ascii="Cambria" w:hAnsi="Cambria"/>
          <w:lang w:val="en-GB"/>
        </w:rPr>
        <w:t>c00</w:t>
      </w:r>
      <w:r w:rsidR="00DA5C81" w:rsidRPr="00C243CD">
        <w:rPr>
          <w:rFonts w:ascii="Cambria" w:hAnsi="Cambria"/>
          <w:lang w:val="en-GB"/>
        </w:rPr>
        <w:t>20 - Column</w:t>
      </w:r>
    </w:p>
    <w:p w14:paraId="68653B9D" w14:textId="77777777" w:rsidR="00DF6C6B" w:rsidRPr="00C243CD" w:rsidRDefault="00DF6C6B" w:rsidP="009474F1">
      <w:pPr>
        <w:rPr>
          <w:rFonts w:ascii="Cambria" w:hAnsi="Cambria"/>
          <w:lang w:val="en-GB"/>
        </w:rPr>
      </w:pPr>
      <w:r w:rsidRPr="00C243CD">
        <w:rPr>
          <w:rFonts w:ascii="Cambria" w:hAnsi="Cambria"/>
          <w:lang w:val="en-GB"/>
        </w:rPr>
        <w:t>For each netting set, a reconciliation with which of the counterparty classes the liability structure in T01.00 it has been contracted to has to be provided</w:t>
      </w:r>
      <w:r w:rsidR="00E62E61" w:rsidRPr="00C243CD">
        <w:rPr>
          <w:rFonts w:ascii="Cambria" w:hAnsi="Cambria"/>
          <w:lang w:val="en-GB"/>
        </w:rPr>
        <w:t xml:space="preserve"> f</w:t>
      </w:r>
      <w:r w:rsidR="00FC47FC" w:rsidRPr="00C243CD">
        <w:rPr>
          <w:rFonts w:ascii="Cambria" w:hAnsi="Cambria"/>
          <w:lang w:val="en-GB"/>
        </w:rPr>
        <w:t>rom predefined list of values.</w:t>
      </w:r>
    </w:p>
    <w:p w14:paraId="0EACD6C5" w14:textId="30A5B00F" w:rsidR="00D202BC" w:rsidRPr="00C243CD" w:rsidRDefault="00DA3A5D" w:rsidP="009474F1">
      <w:pPr>
        <w:pStyle w:val="Heading4"/>
        <w:rPr>
          <w:rFonts w:ascii="Cambria" w:hAnsi="Cambria"/>
          <w:lang w:val="en-GB"/>
        </w:rPr>
      </w:pPr>
      <w:r w:rsidRPr="00C243CD">
        <w:rPr>
          <w:rFonts w:ascii="Cambria" w:hAnsi="Cambria"/>
          <w:lang w:val="en-GB"/>
        </w:rPr>
        <w:t>c00</w:t>
      </w:r>
      <w:r w:rsidR="00D202BC" w:rsidRPr="00C243CD">
        <w:rPr>
          <w:rFonts w:ascii="Cambria" w:hAnsi="Cambria"/>
          <w:lang w:val="en-GB"/>
        </w:rPr>
        <w:t>30 - Insolvency Ranking</w:t>
      </w:r>
    </w:p>
    <w:p w14:paraId="17B80A27" w14:textId="77777777" w:rsidR="00D202BC" w:rsidRPr="00C243CD" w:rsidRDefault="00D202BC" w:rsidP="009474F1">
      <w:pPr>
        <w:rPr>
          <w:rFonts w:ascii="Cambria" w:hAnsi="Cambria"/>
          <w:lang w:val="en-GB"/>
        </w:rPr>
      </w:pPr>
      <w:r w:rsidRPr="00C243CD">
        <w:rPr>
          <w:rFonts w:ascii="Cambria" w:hAnsi="Cambria"/>
          <w:lang w:val="en-GB"/>
        </w:rPr>
        <w:t xml:space="preserve">Identified ranking in line with </w:t>
      </w:r>
      <w:r w:rsidR="00E62E61" w:rsidRPr="00C243CD">
        <w:rPr>
          <w:rFonts w:ascii="Cambria" w:hAnsi="Cambria"/>
          <w:lang w:val="en-GB"/>
        </w:rPr>
        <w:t xml:space="preserve">Part 1, Section 6 </w:t>
      </w:r>
      <w:r w:rsidRPr="00C243CD">
        <w:rPr>
          <w:rFonts w:ascii="Cambria" w:hAnsi="Cambria"/>
          <w:lang w:val="en-GB"/>
        </w:rPr>
        <w:t xml:space="preserve">of the </w:t>
      </w:r>
      <w:r w:rsidR="00341874" w:rsidRPr="00C243CD">
        <w:rPr>
          <w:rFonts w:ascii="Cambria" w:hAnsi="Cambria"/>
          <w:lang w:val="en-GB"/>
        </w:rPr>
        <w:t>guidance</w:t>
      </w:r>
      <w:r w:rsidRPr="00C243CD">
        <w:rPr>
          <w:rFonts w:ascii="Cambria" w:hAnsi="Cambria"/>
          <w:lang w:val="en-GB"/>
        </w:rPr>
        <w:t>.</w:t>
      </w:r>
    </w:p>
    <w:p w14:paraId="0A6A31B2" w14:textId="5F5FF08F"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40 - Master Agreement ID</w:t>
      </w:r>
    </w:p>
    <w:p w14:paraId="27011DA2" w14:textId="77777777" w:rsidR="002B5DBA" w:rsidRPr="00C243CD" w:rsidRDefault="002B5DBA" w:rsidP="009474F1">
      <w:pPr>
        <w:rPr>
          <w:rFonts w:ascii="Cambria" w:hAnsi="Cambria"/>
          <w:lang w:val="en-GB"/>
        </w:rPr>
      </w:pPr>
      <w:r w:rsidRPr="00C243CD">
        <w:rPr>
          <w:rFonts w:ascii="Cambria" w:hAnsi="Cambria"/>
          <w:lang w:val="en-GB"/>
        </w:rPr>
        <w:t>Internal identifier of the master agreement</w:t>
      </w:r>
      <w:r w:rsidR="00F36C80" w:rsidRPr="00C243CD">
        <w:rPr>
          <w:rFonts w:ascii="Cambria" w:hAnsi="Cambria"/>
          <w:lang w:val="en-GB"/>
        </w:rPr>
        <w:t xml:space="preserve"> or single contract</w:t>
      </w:r>
      <w:r w:rsidRPr="00C243CD">
        <w:rPr>
          <w:rFonts w:ascii="Cambria" w:hAnsi="Cambria"/>
          <w:lang w:val="en-GB"/>
        </w:rPr>
        <w:t>.</w:t>
      </w:r>
    </w:p>
    <w:p w14:paraId="70DA8A85" w14:textId="7743D38B"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50 - Type of MA (e.g. ISDA 1992)</w:t>
      </w:r>
    </w:p>
    <w:p w14:paraId="0B00F2C7" w14:textId="77777777" w:rsidR="002B5DBA" w:rsidRPr="00C243CD" w:rsidRDefault="002B5DBA" w:rsidP="004B4B43">
      <w:pPr>
        <w:rPr>
          <w:rFonts w:ascii="Cambria" w:hAnsi="Cambria"/>
          <w:lang w:val="en-GB"/>
        </w:rPr>
      </w:pPr>
      <w:r w:rsidRPr="00C243CD">
        <w:rPr>
          <w:rFonts w:ascii="Cambria" w:hAnsi="Cambria"/>
          <w:lang w:val="en-GB"/>
        </w:rPr>
        <w:t>Specifying the format type used for the master agreement</w:t>
      </w:r>
      <w:r w:rsidR="004B4B43" w:rsidRPr="00C243CD">
        <w:rPr>
          <w:rFonts w:ascii="Cambria" w:hAnsi="Cambria"/>
          <w:lang w:val="en-GB"/>
        </w:rPr>
        <w:t>, either ‘ISDA 2002 MA’, ‘ISDA 1992 MA’, ‘ISDA 1987 MA’, ‘ISDA 1986 MA’, ‘ISDA 1985 MA’, ‘Other MA’ or ‘Single Contract’ from a predefined list</w:t>
      </w:r>
      <w:r w:rsidRPr="00C243CD">
        <w:rPr>
          <w:rFonts w:ascii="Cambria" w:hAnsi="Cambria"/>
          <w:lang w:val="en-GB"/>
        </w:rPr>
        <w:t>.</w:t>
      </w:r>
    </w:p>
    <w:p w14:paraId="3E6E637B" w14:textId="7E9C983B"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6</w:t>
      </w:r>
      <w:r w:rsidR="00FD7424">
        <w:rPr>
          <w:rFonts w:ascii="Cambria" w:hAnsi="Cambria"/>
          <w:lang w:val="en-GB"/>
        </w:rPr>
        <w:t>1</w:t>
      </w:r>
      <w:r w:rsidR="002B5DBA" w:rsidRPr="00C243CD">
        <w:rPr>
          <w:rFonts w:ascii="Cambria" w:hAnsi="Cambria"/>
          <w:lang w:val="en-GB"/>
        </w:rPr>
        <w:t xml:space="preserve"> - ISDA </w:t>
      </w:r>
      <w:r w:rsidR="00FD7424">
        <w:rPr>
          <w:rFonts w:ascii="Cambria" w:hAnsi="Cambria"/>
          <w:lang w:val="en-GB"/>
        </w:rPr>
        <w:t xml:space="preserve">Protocol Adherent - </w:t>
      </w:r>
      <w:r w:rsidR="002B5DBA" w:rsidRPr="00C243CD">
        <w:rPr>
          <w:rFonts w:ascii="Cambria" w:hAnsi="Cambria"/>
          <w:lang w:val="en-GB"/>
        </w:rPr>
        <w:t>Entity</w:t>
      </w:r>
    </w:p>
    <w:p w14:paraId="2BEB3F73" w14:textId="0513E590" w:rsidR="002B5DBA" w:rsidRDefault="002B5DBA" w:rsidP="009474F1">
      <w:pPr>
        <w:rPr>
          <w:rFonts w:ascii="Cambria" w:hAnsi="Cambria"/>
          <w:lang w:val="en-GB"/>
        </w:rPr>
      </w:pPr>
      <w:r w:rsidRPr="00C243CD">
        <w:rPr>
          <w:rFonts w:ascii="Cambria" w:hAnsi="Cambria"/>
          <w:lang w:val="en-GB"/>
        </w:rPr>
        <w:t>Indicate whether the entity itself has signed the ISDA Universal Stay Protocol</w:t>
      </w:r>
      <w:r w:rsidR="004B4B43" w:rsidRPr="00C243CD">
        <w:rPr>
          <w:rFonts w:ascii="Cambria" w:hAnsi="Cambria"/>
          <w:lang w:val="en-GB"/>
        </w:rPr>
        <w:t>, either ‘</w:t>
      </w:r>
      <w:r w:rsidR="000223B1" w:rsidRPr="000223B1">
        <w:rPr>
          <w:rFonts w:ascii="Cambria" w:hAnsi="Cambria"/>
          <w:lang w:val="en-GB"/>
        </w:rPr>
        <w:t>Yes - ISDA Universal Protocol</w:t>
      </w:r>
      <w:r w:rsidR="004B4B43" w:rsidRPr="00C243CD">
        <w:rPr>
          <w:rFonts w:ascii="Cambria" w:hAnsi="Cambria"/>
          <w:lang w:val="en-GB"/>
        </w:rPr>
        <w:t>’</w:t>
      </w:r>
      <w:r w:rsidR="000223B1">
        <w:rPr>
          <w:rFonts w:ascii="Cambria" w:hAnsi="Cambria"/>
          <w:lang w:val="en-GB"/>
        </w:rPr>
        <w:t>, ‘</w:t>
      </w:r>
      <w:r w:rsidR="000223B1" w:rsidRPr="000223B1">
        <w:rPr>
          <w:rFonts w:ascii="Cambria" w:hAnsi="Cambria"/>
          <w:lang w:val="en-GB"/>
        </w:rPr>
        <w:t>Yes - ISDA JMP Module</w:t>
      </w:r>
      <w:r w:rsidR="000223B1">
        <w:rPr>
          <w:rFonts w:ascii="Cambria" w:hAnsi="Cambria"/>
          <w:lang w:val="en-GB"/>
        </w:rPr>
        <w:t>’</w:t>
      </w:r>
      <w:r w:rsidR="004B4B43" w:rsidRPr="00C243CD">
        <w:rPr>
          <w:rFonts w:ascii="Cambria" w:hAnsi="Cambria"/>
          <w:lang w:val="en-GB"/>
        </w:rPr>
        <w:t xml:space="preserve"> or ‘No’ from a predefined list</w:t>
      </w:r>
      <w:r w:rsidRPr="00C243CD">
        <w:rPr>
          <w:rFonts w:ascii="Cambria" w:hAnsi="Cambria"/>
          <w:lang w:val="en-GB"/>
        </w:rPr>
        <w:t xml:space="preserve">. </w:t>
      </w:r>
    </w:p>
    <w:p w14:paraId="7AEDE97A" w14:textId="5888FA0E"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7</w:t>
      </w:r>
      <w:r w:rsidR="00FD7424">
        <w:rPr>
          <w:rFonts w:ascii="Cambria" w:hAnsi="Cambria"/>
          <w:lang w:val="en-GB"/>
        </w:rPr>
        <w:t>1</w:t>
      </w:r>
      <w:r w:rsidR="002B5DBA" w:rsidRPr="00C243CD">
        <w:rPr>
          <w:rFonts w:ascii="Cambria" w:hAnsi="Cambria"/>
          <w:lang w:val="en-GB"/>
        </w:rPr>
        <w:t xml:space="preserve"> </w:t>
      </w:r>
      <w:r w:rsidR="00FD7424">
        <w:rPr>
          <w:rFonts w:ascii="Cambria" w:hAnsi="Cambria"/>
          <w:lang w:val="en-GB"/>
        </w:rPr>
        <w:t>–</w:t>
      </w:r>
      <w:r w:rsidR="002B5DBA" w:rsidRPr="00C243CD">
        <w:rPr>
          <w:rFonts w:ascii="Cambria" w:hAnsi="Cambria"/>
          <w:lang w:val="en-GB"/>
        </w:rPr>
        <w:t xml:space="preserve"> </w:t>
      </w:r>
      <w:r w:rsidR="00FD7424">
        <w:rPr>
          <w:rFonts w:ascii="Cambria" w:hAnsi="Cambria"/>
          <w:lang w:val="en-GB"/>
        </w:rPr>
        <w:t>Resolution Stay Recognition</w:t>
      </w:r>
      <w:r w:rsidR="002B5DBA" w:rsidRPr="00C243CD">
        <w:rPr>
          <w:rFonts w:ascii="Cambria" w:hAnsi="Cambria"/>
          <w:lang w:val="en-GB"/>
        </w:rPr>
        <w:t xml:space="preserve"> - Counterparty</w:t>
      </w:r>
      <w:r w:rsidR="0025576C" w:rsidRPr="00C243CD">
        <w:rPr>
          <w:rStyle w:val="FootnoteReference"/>
          <w:rFonts w:ascii="Cambria" w:hAnsi="Cambria"/>
          <w:lang w:val="en-GB"/>
        </w:rPr>
        <w:footnoteReference w:id="17"/>
      </w:r>
    </w:p>
    <w:p w14:paraId="1422F132" w14:textId="62B2B89A" w:rsidR="002B5DBA" w:rsidRDefault="002B5DBA" w:rsidP="009474F1">
      <w:pPr>
        <w:rPr>
          <w:rFonts w:ascii="Cambria" w:hAnsi="Cambria"/>
          <w:lang w:val="en-GB"/>
        </w:rPr>
      </w:pPr>
      <w:r w:rsidRPr="00C243CD">
        <w:rPr>
          <w:rFonts w:ascii="Cambria" w:hAnsi="Cambria"/>
          <w:lang w:val="en-GB"/>
        </w:rPr>
        <w:t xml:space="preserve">Indicate whether the counterparty has </w:t>
      </w:r>
      <w:r w:rsidR="000223B1">
        <w:rPr>
          <w:rFonts w:ascii="Cambria" w:hAnsi="Cambria"/>
          <w:lang w:val="en-GB"/>
        </w:rPr>
        <w:t xml:space="preserve">adhered to </w:t>
      </w:r>
      <w:r w:rsidR="004B4B43" w:rsidRPr="00C243CD">
        <w:rPr>
          <w:rFonts w:ascii="Cambria" w:hAnsi="Cambria"/>
          <w:lang w:val="en-GB"/>
        </w:rPr>
        <w:t xml:space="preserve">, </w:t>
      </w:r>
      <w:r w:rsidR="000223B1" w:rsidRPr="00C243CD">
        <w:rPr>
          <w:rFonts w:ascii="Cambria" w:hAnsi="Cambria"/>
          <w:lang w:val="en-GB"/>
        </w:rPr>
        <w:t>either ‘</w:t>
      </w:r>
      <w:r w:rsidR="000223B1" w:rsidRPr="000223B1">
        <w:rPr>
          <w:rFonts w:ascii="Cambria" w:hAnsi="Cambria"/>
          <w:lang w:val="en-GB"/>
        </w:rPr>
        <w:t>Yes - ISDA Universal Protocol</w:t>
      </w:r>
      <w:r w:rsidR="000223B1" w:rsidRPr="00C243CD">
        <w:rPr>
          <w:rFonts w:ascii="Cambria" w:hAnsi="Cambria"/>
          <w:lang w:val="en-GB"/>
        </w:rPr>
        <w:t>’</w:t>
      </w:r>
      <w:r w:rsidR="000223B1">
        <w:rPr>
          <w:rFonts w:ascii="Cambria" w:hAnsi="Cambria"/>
          <w:lang w:val="en-GB"/>
        </w:rPr>
        <w:t>, ‘</w:t>
      </w:r>
      <w:r w:rsidR="000223B1" w:rsidRPr="000223B1">
        <w:rPr>
          <w:rFonts w:ascii="Cambria" w:hAnsi="Cambria"/>
          <w:lang w:val="en-GB"/>
        </w:rPr>
        <w:t>Yes - ISDA JMP Module</w:t>
      </w:r>
      <w:r w:rsidR="000223B1">
        <w:rPr>
          <w:rFonts w:ascii="Cambria" w:hAnsi="Cambria"/>
          <w:lang w:val="en-GB"/>
        </w:rPr>
        <w:t>’, ‘</w:t>
      </w:r>
      <w:r w:rsidR="000223B1" w:rsidRPr="000223B1">
        <w:rPr>
          <w:rFonts w:ascii="Cambria" w:hAnsi="Cambria"/>
          <w:lang w:val="en-GB"/>
        </w:rPr>
        <w:t>Yes - Other Agreement</w:t>
      </w:r>
      <w:r w:rsidR="000223B1">
        <w:rPr>
          <w:rFonts w:ascii="Cambria" w:hAnsi="Cambria"/>
          <w:lang w:val="en-GB"/>
        </w:rPr>
        <w:t>’</w:t>
      </w:r>
      <w:r w:rsidR="000223B1" w:rsidRPr="00C243CD">
        <w:rPr>
          <w:rFonts w:ascii="Cambria" w:hAnsi="Cambria"/>
          <w:lang w:val="en-GB"/>
        </w:rPr>
        <w:t xml:space="preserve"> or ‘No’ from a predefined list.</w:t>
      </w:r>
    </w:p>
    <w:p w14:paraId="33F43B0E" w14:textId="1865A44F" w:rsidR="00FD7424" w:rsidRPr="00FD7424" w:rsidRDefault="00FD7424" w:rsidP="009474F1">
      <w:pPr>
        <w:rPr>
          <w:rFonts w:ascii="Cambria" w:eastAsiaTheme="majorEastAsia" w:hAnsi="Cambria" w:cstheme="majorBidi"/>
          <w:i/>
          <w:iCs/>
          <w:color w:val="2E74B5" w:themeColor="accent1" w:themeShade="BF"/>
          <w:lang w:val="en-GB"/>
        </w:rPr>
      </w:pPr>
      <w:r w:rsidRPr="00FD7424">
        <w:rPr>
          <w:rFonts w:ascii="Cambria" w:eastAsiaTheme="majorEastAsia" w:hAnsi="Cambria" w:cstheme="majorBidi"/>
          <w:i/>
          <w:iCs/>
          <w:color w:val="2E74B5" w:themeColor="accent1" w:themeShade="BF"/>
          <w:lang w:val="en-GB"/>
        </w:rPr>
        <w:t>c0075 – Entity Name of counterparty</w:t>
      </w:r>
    </w:p>
    <w:p w14:paraId="77FEDF6D" w14:textId="61500BB2" w:rsidR="00FD7424" w:rsidRPr="00C243CD" w:rsidRDefault="00FD7424" w:rsidP="009474F1">
      <w:pPr>
        <w:rPr>
          <w:rFonts w:ascii="Cambria" w:hAnsi="Cambria"/>
          <w:lang w:val="en-GB"/>
        </w:rPr>
      </w:pPr>
      <w:r w:rsidRPr="00C243CD">
        <w:rPr>
          <w:rFonts w:ascii="Cambria" w:hAnsi="Cambria"/>
          <w:lang w:val="en-GB"/>
        </w:rPr>
        <w:t>Internal identifier of the contract, as equivalent to the ISIN for securities.</w:t>
      </w:r>
    </w:p>
    <w:p w14:paraId="1B8BD904" w14:textId="19EDD736"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8</w:t>
      </w:r>
      <w:r w:rsidR="002B5DBA" w:rsidRPr="00C243CD">
        <w:rPr>
          <w:rFonts w:ascii="Cambria" w:hAnsi="Cambria"/>
          <w:lang w:val="en-GB"/>
        </w:rPr>
        <w:t xml:space="preserve">0 </w:t>
      </w:r>
      <w:r w:rsidR="00FD7424">
        <w:rPr>
          <w:rFonts w:ascii="Cambria" w:hAnsi="Cambria"/>
          <w:lang w:val="en-GB"/>
        </w:rPr>
        <w:t>–</w:t>
      </w:r>
      <w:r w:rsidR="002B5DBA" w:rsidRPr="00C243CD">
        <w:rPr>
          <w:rFonts w:ascii="Cambria" w:hAnsi="Cambria"/>
          <w:lang w:val="en-GB"/>
        </w:rPr>
        <w:t xml:space="preserve"> Counterparty</w:t>
      </w:r>
      <w:r w:rsidR="00FD7424">
        <w:rPr>
          <w:rFonts w:ascii="Cambria" w:hAnsi="Cambria"/>
          <w:lang w:val="en-GB"/>
        </w:rPr>
        <w:t xml:space="preserve"> identifier (preferably LEI)</w:t>
      </w:r>
    </w:p>
    <w:p w14:paraId="6A46B63E" w14:textId="77777777" w:rsidR="00C30939" w:rsidRPr="00C243CD" w:rsidRDefault="00C30939" w:rsidP="009474F1">
      <w:pPr>
        <w:pStyle w:val="Heading4"/>
        <w:rPr>
          <w:rFonts w:ascii="Cambria" w:hAnsi="Cambria"/>
          <w:i w:val="0"/>
          <w:color w:val="auto"/>
          <w:lang w:val="en-GB"/>
        </w:rPr>
      </w:pPr>
      <w:r w:rsidRPr="00C243CD">
        <w:rPr>
          <w:rFonts w:ascii="Cambria" w:hAnsi="Cambria"/>
          <w:i w:val="0"/>
          <w:color w:val="auto"/>
          <w:lang w:val="en-GB"/>
        </w:rPr>
        <w:t>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t>
      </w:r>
    </w:p>
    <w:p w14:paraId="39B4F04B" w14:textId="44A41AC5" w:rsidR="00DD7134" w:rsidRDefault="00DD7134" w:rsidP="00DD7134">
      <w:pPr>
        <w:rPr>
          <w:rFonts w:ascii="Cambria" w:eastAsiaTheme="majorEastAsia" w:hAnsi="Cambria" w:cstheme="majorBidi"/>
          <w:i/>
          <w:iCs/>
          <w:color w:val="2E74B5" w:themeColor="accent1" w:themeShade="BF"/>
          <w:lang w:val="en-GB"/>
        </w:rPr>
      </w:pPr>
      <w:r>
        <w:rPr>
          <w:rFonts w:ascii="Cambria" w:eastAsiaTheme="majorEastAsia" w:hAnsi="Cambria" w:cstheme="majorBidi"/>
          <w:i/>
          <w:iCs/>
          <w:color w:val="2E74B5" w:themeColor="accent1" w:themeShade="BF"/>
          <w:lang w:val="en-GB"/>
        </w:rPr>
        <w:t>c</w:t>
      </w:r>
      <w:r w:rsidRPr="00047E4D">
        <w:rPr>
          <w:rFonts w:ascii="Cambria" w:eastAsiaTheme="majorEastAsia" w:hAnsi="Cambria" w:cstheme="majorBidi"/>
          <w:i/>
          <w:iCs/>
          <w:color w:val="2E74B5" w:themeColor="accent1" w:themeShade="BF"/>
          <w:lang w:val="en-GB"/>
        </w:rPr>
        <w:t>00</w:t>
      </w:r>
      <w:r>
        <w:rPr>
          <w:rFonts w:ascii="Cambria" w:eastAsiaTheme="majorEastAsia" w:hAnsi="Cambria" w:cstheme="majorBidi"/>
          <w:i/>
          <w:iCs/>
          <w:color w:val="2E74B5" w:themeColor="accent1" w:themeShade="BF"/>
          <w:lang w:val="en-GB"/>
        </w:rPr>
        <w:t>85</w:t>
      </w:r>
      <w:r w:rsidRPr="00047E4D">
        <w:rPr>
          <w:rFonts w:ascii="Cambria" w:eastAsiaTheme="majorEastAsia" w:hAnsi="Cambria" w:cstheme="majorBidi"/>
          <w:i/>
          <w:iCs/>
          <w:color w:val="2E74B5" w:themeColor="accent1" w:themeShade="BF"/>
          <w:lang w:val="en-GB"/>
        </w:rPr>
        <w:t xml:space="preserve"> –Type of Identifier</w:t>
      </w:r>
    </w:p>
    <w:p w14:paraId="082F6B2C" w14:textId="7A0FB67A" w:rsidR="00DD7134" w:rsidRPr="003D6B3C" w:rsidRDefault="003D6B3C" w:rsidP="00DD7134">
      <w:pPr>
        <w:rPr>
          <w:rFonts w:ascii="Cambria" w:hAnsi="Cambria"/>
          <w:lang w:val="en-GB"/>
        </w:rPr>
      </w:pPr>
      <w:r>
        <w:rPr>
          <w:rFonts w:ascii="Cambria" w:hAnsi="Cambria"/>
          <w:lang w:val="en-GB"/>
        </w:rPr>
        <w:t>To be chosen among the following options</w:t>
      </w:r>
      <w:r w:rsidRPr="003D6B3C">
        <w:rPr>
          <w:rFonts w:ascii="Cambria" w:hAnsi="Cambria"/>
          <w:lang w:val="en-GB"/>
        </w:rPr>
        <w:t>: “LEI code”, “MFI code” or “Type of identifier, other than LEI or MFI code”.</w:t>
      </w:r>
    </w:p>
    <w:p w14:paraId="3379E927" w14:textId="5465EA37"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9</w:t>
      </w:r>
      <w:r w:rsidR="002B5DBA" w:rsidRPr="00C243CD">
        <w:rPr>
          <w:rFonts w:ascii="Cambria" w:hAnsi="Cambria"/>
          <w:lang w:val="en-GB"/>
        </w:rPr>
        <w:t>0 - Country of Counterparty</w:t>
      </w:r>
    </w:p>
    <w:p w14:paraId="66F25C2D" w14:textId="77777777" w:rsidR="002B5DBA" w:rsidRPr="00C243CD" w:rsidRDefault="002B5DBA" w:rsidP="009474F1">
      <w:pPr>
        <w:rPr>
          <w:rFonts w:ascii="Cambria" w:hAnsi="Cambria"/>
          <w:lang w:val="en-GB"/>
        </w:rPr>
      </w:pPr>
      <w:r w:rsidRPr="00C243CD">
        <w:rPr>
          <w:rFonts w:ascii="Cambria" w:hAnsi="Cambria"/>
          <w:lang w:val="en-GB"/>
        </w:rPr>
        <w:t>The ISO 3166-1 alpha-2 identification of the country where the counterparty is incorporated.</w:t>
      </w:r>
    </w:p>
    <w:p w14:paraId="7AC71079" w14:textId="64D71147"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0</w:t>
      </w:r>
      <w:r w:rsidR="002B5DBA" w:rsidRPr="00C243CD">
        <w:rPr>
          <w:rFonts w:ascii="Cambria" w:hAnsi="Cambria"/>
          <w:lang w:val="en-GB"/>
        </w:rPr>
        <w:t xml:space="preserve">0 - </w:t>
      </w:r>
      <w:r w:rsidR="00965702" w:rsidRPr="00C243CD">
        <w:rPr>
          <w:rFonts w:ascii="Cambria" w:hAnsi="Cambria"/>
          <w:lang w:val="en-GB"/>
        </w:rPr>
        <w:t>Governing Law of MA/single deal</w:t>
      </w:r>
    </w:p>
    <w:p w14:paraId="41CFE1E6" w14:textId="02528439" w:rsidR="00965702" w:rsidRPr="00C243CD" w:rsidRDefault="00965702" w:rsidP="009474F1">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t>
      </w:r>
      <w:r w:rsidR="00F64A95" w:rsidRPr="00C243CD">
        <w:rPr>
          <w:rFonts w:ascii="Cambria" w:hAnsi="Cambria"/>
          <w:lang w:val="en-GB"/>
        </w:rPr>
        <w:t>whose</w:t>
      </w:r>
      <w:r w:rsidRPr="00C243CD">
        <w:rPr>
          <w:rFonts w:ascii="Cambria" w:hAnsi="Cambria"/>
          <w:lang w:val="en-GB"/>
        </w:rPr>
        <w:t xml:space="preserve"> law governs the MA/single contract.</w:t>
      </w:r>
    </w:p>
    <w:p w14:paraId="5F1A1CC7" w14:textId="29BEADB5"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1</w:t>
      </w:r>
      <w:r w:rsidR="002B5DBA" w:rsidRPr="00C243CD">
        <w:rPr>
          <w:rFonts w:ascii="Cambria" w:hAnsi="Cambria"/>
          <w:lang w:val="en-GB"/>
        </w:rPr>
        <w:t>0 - Number of Transactions Covered</w:t>
      </w:r>
    </w:p>
    <w:p w14:paraId="07CEF189" w14:textId="77777777" w:rsidR="002B5DBA" w:rsidRPr="00C243CD" w:rsidRDefault="002B5DBA" w:rsidP="009474F1">
      <w:pPr>
        <w:rPr>
          <w:rFonts w:ascii="Cambria" w:hAnsi="Cambria"/>
          <w:lang w:val="en-GB"/>
        </w:rPr>
      </w:pPr>
      <w:r w:rsidRPr="00C243CD">
        <w:rPr>
          <w:rFonts w:ascii="Cambria" w:hAnsi="Cambria"/>
          <w:lang w:val="en-GB"/>
        </w:rPr>
        <w:t>Indicate the number of individual contracts that are included in the netting set of the MA.</w:t>
      </w:r>
    </w:p>
    <w:p w14:paraId="2914D62F" w14:textId="3115418B" w:rsidR="002B5DBA" w:rsidRPr="00C243CD" w:rsidRDefault="00DA3A5D" w:rsidP="009474F1">
      <w:pPr>
        <w:pStyle w:val="Heading4"/>
        <w:rPr>
          <w:rFonts w:ascii="Cambria" w:hAnsi="Cambria"/>
          <w:lang w:val="en-GB"/>
        </w:rPr>
      </w:pPr>
      <w:r w:rsidRPr="00C243CD">
        <w:rPr>
          <w:rFonts w:ascii="Cambria" w:hAnsi="Cambria"/>
          <w:lang w:val="en-GB"/>
        </w:rPr>
        <w:lastRenderedPageBreak/>
        <w:t>c01</w:t>
      </w:r>
      <w:r w:rsidR="003E7184" w:rsidRPr="00C243CD">
        <w:rPr>
          <w:rFonts w:ascii="Cambria" w:hAnsi="Cambria"/>
          <w:lang w:val="en-GB"/>
        </w:rPr>
        <w:t>2</w:t>
      </w:r>
      <w:r w:rsidR="002B5DBA" w:rsidRPr="00C243CD">
        <w:rPr>
          <w:rFonts w:ascii="Cambria" w:hAnsi="Cambria"/>
          <w:lang w:val="en-GB"/>
        </w:rPr>
        <w:t>0 - Net Mark-to-Market Value</w:t>
      </w:r>
    </w:p>
    <w:p w14:paraId="1F699282" w14:textId="77777777" w:rsidR="002B5DBA" w:rsidRPr="00C243CD" w:rsidRDefault="002B5DBA" w:rsidP="009474F1">
      <w:pPr>
        <w:rPr>
          <w:rFonts w:ascii="Cambria" w:hAnsi="Cambria"/>
          <w:lang w:val="en-GB"/>
        </w:rPr>
      </w:pPr>
      <w:r w:rsidRPr="00C243CD">
        <w:rPr>
          <w:rFonts w:ascii="Cambria" w:hAnsi="Cambria"/>
          <w:lang w:val="en-GB"/>
        </w:rPr>
        <w:t xml:space="preserve">Unpaid amounts or other amounts due from the </w:t>
      </w:r>
      <w:r w:rsidR="00F400B4" w:rsidRPr="00C243CD">
        <w:rPr>
          <w:rFonts w:ascii="Cambria" w:hAnsi="Cambria"/>
          <w:lang w:val="en-GB"/>
        </w:rPr>
        <w:t>entity</w:t>
      </w:r>
      <w:r w:rsidRPr="00C243CD">
        <w:rPr>
          <w:rFonts w:ascii="Cambria" w:hAnsi="Cambria"/>
          <w:lang w:val="en-GB"/>
        </w:rPr>
        <w:t xml:space="preserve"> under resolution to the counterparty, less unpaid amounts and other amounts due from the counterparty to the </w:t>
      </w:r>
      <w:r w:rsidR="00F400B4" w:rsidRPr="00C243CD">
        <w:rPr>
          <w:rFonts w:ascii="Cambria" w:hAnsi="Cambria"/>
          <w:lang w:val="en-GB"/>
        </w:rPr>
        <w:t>entity</w:t>
      </w:r>
      <w:r w:rsidRPr="00C243CD">
        <w:rPr>
          <w:rFonts w:ascii="Cambria" w:hAnsi="Cambria"/>
          <w:lang w:val="en-GB"/>
        </w:rPr>
        <w:t xml:space="preserve"> under resolution as at the close-out date.</w:t>
      </w:r>
    </w:p>
    <w:p w14:paraId="30263901" w14:textId="30135133"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3</w:t>
      </w:r>
      <w:r w:rsidR="002B5DBA" w:rsidRPr="00C243CD">
        <w:rPr>
          <w:rFonts w:ascii="Cambria" w:hAnsi="Cambria"/>
          <w:lang w:val="en-GB"/>
        </w:rPr>
        <w:t>0 - Value of Net Collateral Posted</w:t>
      </w:r>
    </w:p>
    <w:p w14:paraId="4565A28C" w14:textId="77777777" w:rsidR="002B5DBA" w:rsidRPr="00C243CD" w:rsidRDefault="002B5DBA" w:rsidP="009474F1">
      <w:pPr>
        <w:rPr>
          <w:rFonts w:ascii="Cambria" w:hAnsi="Cambria"/>
          <w:lang w:val="en-GB"/>
        </w:rPr>
      </w:pPr>
      <w:r w:rsidRPr="00C243CD">
        <w:rPr>
          <w:rFonts w:ascii="Cambria" w:hAnsi="Cambria"/>
          <w:lang w:val="en-GB"/>
        </w:rPr>
        <w:t xml:space="preserve">The net market value of collateral </w:t>
      </w:r>
      <w:r w:rsidR="00E13AFA" w:rsidRPr="00C243CD">
        <w:rPr>
          <w:rFonts w:ascii="Cambria" w:hAnsi="Cambria"/>
          <w:lang w:val="en-GB"/>
        </w:rPr>
        <w:t xml:space="preserve">positions </w:t>
      </w:r>
      <w:r w:rsidRPr="00C243CD">
        <w:rPr>
          <w:rFonts w:ascii="Cambria" w:hAnsi="Cambria"/>
          <w:lang w:val="en-GB"/>
        </w:rPr>
        <w:t>under a netting set</w:t>
      </w:r>
      <w:r w:rsidR="00E13AFA" w:rsidRPr="00C243CD">
        <w:rPr>
          <w:rFonts w:ascii="Cambria" w:hAnsi="Cambria"/>
          <w:lang w:val="en-GB"/>
        </w:rPr>
        <w:t xml:space="preserve"> (i.e. collateral posted decreased by any collateral received)</w:t>
      </w:r>
      <w:r w:rsidRPr="00C243CD">
        <w:rPr>
          <w:rFonts w:ascii="Cambria" w:hAnsi="Cambria"/>
          <w:lang w:val="en-GB"/>
        </w:rPr>
        <w:t>.</w:t>
      </w:r>
      <w:r w:rsidR="001A3B77" w:rsidRPr="00C243CD">
        <w:rPr>
          <w:rFonts w:ascii="Cambria" w:hAnsi="Cambria"/>
          <w:lang w:val="en-GB"/>
        </w:rPr>
        <w:t xml:space="preserve"> This should include any margin </w:t>
      </w:r>
      <w:r w:rsidR="0018198C" w:rsidRPr="00C243CD">
        <w:rPr>
          <w:rFonts w:ascii="Cambria" w:hAnsi="Cambria"/>
          <w:lang w:val="en-GB"/>
        </w:rPr>
        <w:t>accounts</w:t>
      </w:r>
      <w:r w:rsidR="001A3B77" w:rsidRPr="00C243CD">
        <w:rPr>
          <w:rFonts w:ascii="Cambria" w:hAnsi="Cambria"/>
          <w:lang w:val="en-GB"/>
        </w:rPr>
        <w:t xml:space="preserve"> under the netting arrangements.</w:t>
      </w:r>
      <w:r w:rsidR="00E3480A" w:rsidRPr="00C243CD">
        <w:rPr>
          <w:rFonts w:ascii="Cambria" w:hAnsi="Cambria"/>
          <w:lang w:val="en-GB"/>
        </w:rPr>
        <w:t xml:space="preserve"> It should be reported as a positive value for net collateral posted to counterparties.</w:t>
      </w:r>
    </w:p>
    <w:p w14:paraId="67199DC3" w14:textId="6BAE7889"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4</w:t>
      </w:r>
      <w:r w:rsidR="002B5DBA" w:rsidRPr="00C243CD">
        <w:rPr>
          <w:rFonts w:ascii="Cambria" w:hAnsi="Cambria"/>
          <w:lang w:val="en-GB"/>
        </w:rPr>
        <w:t>0 - Estimated Close-Out Amount</w:t>
      </w:r>
    </w:p>
    <w:p w14:paraId="5CC637ED" w14:textId="77777777" w:rsidR="002B5DBA" w:rsidRPr="00C243CD" w:rsidRDefault="002B5DBA" w:rsidP="009474F1">
      <w:pPr>
        <w:rPr>
          <w:rFonts w:ascii="Cambria" w:hAnsi="Cambria"/>
          <w:lang w:val="en-GB"/>
        </w:rPr>
      </w:pPr>
      <w:r w:rsidRPr="00C243CD">
        <w:rPr>
          <w:rFonts w:ascii="Cambria" w:hAnsi="Cambria"/>
          <w:lang w:val="en-GB"/>
        </w:rPr>
        <w:t xml:space="preserve">The estimated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 The estimations required to determine this value in line with the </w:t>
      </w:r>
      <w:r w:rsidR="00027F0A" w:rsidRPr="00C243CD">
        <w:rPr>
          <w:rFonts w:ascii="Cambria" w:hAnsi="Cambria"/>
          <w:lang w:val="en-GB"/>
        </w:rPr>
        <w:t>Delegated Regulation</w:t>
      </w:r>
      <w:r w:rsidRPr="00C243CD">
        <w:rPr>
          <w:rFonts w:ascii="Cambria" w:hAnsi="Cambria"/>
          <w:lang w:val="en-GB"/>
        </w:rPr>
        <w:t xml:space="preserve"> </w:t>
      </w:r>
      <w:r w:rsidR="00027F0A" w:rsidRPr="00C243CD">
        <w:rPr>
          <w:rFonts w:ascii="Cambria" w:hAnsi="Cambria"/>
          <w:lang w:val="en-GB"/>
        </w:rPr>
        <w:t xml:space="preserve">(EU) 2016/1401 </w:t>
      </w:r>
      <w:r w:rsidRPr="00C243CD">
        <w:rPr>
          <w:rFonts w:ascii="Cambria" w:hAnsi="Cambria"/>
          <w:lang w:val="en-GB"/>
        </w:rPr>
        <w:t>could prove quite difficult on an individual basis. Therefore, proxy values, which may be based on available data such as the prudential requirements for market risk, could be used instead.</w:t>
      </w:r>
      <w:r w:rsidR="0011109F" w:rsidRPr="00C243CD">
        <w:rPr>
          <w:rFonts w:ascii="Cambria" w:hAnsi="Cambria"/>
          <w:lang w:val="en-GB"/>
        </w:rPr>
        <w:t xml:space="preserve"> </w:t>
      </w:r>
      <w:r w:rsidR="009A6194" w:rsidRPr="00C243CD">
        <w:rPr>
          <w:rFonts w:ascii="Cambria" w:hAnsi="Cambria"/>
          <w:lang w:val="en-GB"/>
        </w:rPr>
        <w:t>A positive value for the estimated close-out amount results in an increase of the estimated early termination amount, while a negative sign would decrease the estimated early termination amount.</w:t>
      </w:r>
    </w:p>
    <w:p w14:paraId="3B5C6321" w14:textId="514F389A"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5</w:t>
      </w:r>
      <w:r w:rsidR="002B5DBA" w:rsidRPr="00C243CD">
        <w:rPr>
          <w:rFonts w:ascii="Cambria" w:hAnsi="Cambria"/>
          <w:lang w:val="en-GB"/>
        </w:rPr>
        <w:t>0 - Estimated Early Termination Amount</w:t>
      </w:r>
    </w:p>
    <w:p w14:paraId="6253AF45" w14:textId="77777777" w:rsidR="002B5DBA" w:rsidRPr="00C243CD" w:rsidRDefault="002B5DBA" w:rsidP="009474F1">
      <w:pPr>
        <w:rPr>
          <w:rFonts w:ascii="Cambria" w:hAnsi="Cambria"/>
          <w:lang w:val="en-GB"/>
        </w:rPr>
      </w:pPr>
      <w:r w:rsidRPr="00C243CD">
        <w:rPr>
          <w:rFonts w:ascii="Cambria" w:hAnsi="Cambria"/>
          <w:lang w:val="en-GB"/>
        </w:rPr>
        <w:t xml:space="preserve">With reference to the </w:t>
      </w:r>
      <w:r w:rsidR="00027F0A" w:rsidRPr="00C243CD">
        <w:rPr>
          <w:rFonts w:ascii="Cambria" w:hAnsi="Cambria"/>
          <w:lang w:val="en-GB"/>
        </w:rPr>
        <w:t xml:space="preserve">Delegated Regulation (EU) 2016/1401 </w:t>
      </w:r>
      <w:r w:rsidRPr="00C243CD">
        <w:rPr>
          <w:rFonts w:ascii="Cambria" w:hAnsi="Cambria"/>
          <w:lang w:val="en-GB"/>
        </w:rPr>
        <w:t>on the valuation of derivatives pursuant to article 49 (4) of the BRRD, this amount is determined as follows:</w:t>
      </w:r>
    </w:p>
    <w:p w14:paraId="3F77D271" w14:textId="77777777" w:rsidR="002B5DBA" w:rsidRPr="00C243CD" w:rsidRDefault="002B5DBA" w:rsidP="009474F1">
      <w:pPr>
        <w:rPr>
          <w:rFonts w:ascii="Cambria" w:hAnsi="Cambria"/>
          <w:lang w:val="en-GB"/>
        </w:rPr>
      </w:pPr>
      <w:r w:rsidRPr="00C243CD">
        <w:rPr>
          <w:rFonts w:ascii="Cambria" w:hAnsi="Cambria"/>
          <w:lang w:val="en-GB"/>
        </w:rPr>
        <w:t xml:space="preserve">"The valuer shall determine the value of liabilities arising from derivative contracts under a netting set as an early termination amount calculated as the sum of: </w:t>
      </w:r>
    </w:p>
    <w:p w14:paraId="72D113DC" w14:textId="77777777" w:rsidR="002B5DBA" w:rsidRPr="00C243CD" w:rsidRDefault="002B5DBA" w:rsidP="009474F1">
      <w:pPr>
        <w:pStyle w:val="ListParagraph"/>
        <w:numPr>
          <w:ilvl w:val="0"/>
          <w:numId w:val="14"/>
        </w:numPr>
        <w:spacing w:line="276" w:lineRule="auto"/>
        <w:rPr>
          <w:sz w:val="20"/>
          <w:szCs w:val="22"/>
          <w:lang w:val="en-GB"/>
        </w:rPr>
      </w:pPr>
      <w:r w:rsidRPr="00C243CD">
        <w:rPr>
          <w:sz w:val="20"/>
          <w:szCs w:val="22"/>
          <w:lang w:val="en-GB"/>
        </w:rPr>
        <w:t xml:space="preserve">Unpaid amounts, collateral or other amounts due from the </w:t>
      </w:r>
      <w:r w:rsidR="00F400B4" w:rsidRPr="00C243CD">
        <w:rPr>
          <w:sz w:val="20"/>
          <w:szCs w:val="22"/>
          <w:lang w:val="en-GB"/>
        </w:rPr>
        <w:t>entity</w:t>
      </w:r>
      <w:r w:rsidRPr="00C243CD">
        <w:rPr>
          <w:sz w:val="20"/>
          <w:szCs w:val="22"/>
          <w:lang w:val="en-GB"/>
        </w:rPr>
        <w:t xml:space="preserve"> under resolution to the counterparty, less unpaid amounts, collateral and other amounts due from the counterparty to the </w:t>
      </w:r>
      <w:r w:rsidR="00F400B4" w:rsidRPr="00C243CD">
        <w:rPr>
          <w:sz w:val="20"/>
          <w:szCs w:val="22"/>
          <w:lang w:val="en-GB"/>
        </w:rPr>
        <w:t>entity</w:t>
      </w:r>
      <w:r w:rsidRPr="00C243CD">
        <w:rPr>
          <w:sz w:val="20"/>
          <w:szCs w:val="22"/>
          <w:lang w:val="en-GB"/>
        </w:rPr>
        <w:t xml:space="preserve"> under resolution as at the close-out date; and</w:t>
      </w:r>
    </w:p>
    <w:p w14:paraId="59F3E4D1" w14:textId="77777777" w:rsidR="002B5DBA" w:rsidRPr="00C243CD" w:rsidRDefault="002B5DBA" w:rsidP="009474F1">
      <w:pPr>
        <w:pStyle w:val="ListParagraph"/>
        <w:numPr>
          <w:ilvl w:val="0"/>
          <w:numId w:val="14"/>
        </w:numPr>
        <w:spacing w:line="276" w:lineRule="auto"/>
        <w:rPr>
          <w:sz w:val="20"/>
          <w:szCs w:val="22"/>
          <w:lang w:val="en-GB"/>
        </w:rPr>
      </w:pPr>
      <w:r w:rsidRPr="00C243CD">
        <w:rPr>
          <w:sz w:val="20"/>
          <w:szCs w:val="22"/>
          <w:lang w:val="en-GB"/>
        </w:rPr>
        <w:t>A close-out amount covering the amount of losses or costs incurred by derivative counterparties, or gains realised by them, in replacing or obtaining the economic equivalent on material terms of the contracts and the option rights of the parties in respect of the terminated contracts."</w:t>
      </w:r>
    </w:p>
    <w:p w14:paraId="7C9E168A" w14:textId="1FF34ADA" w:rsidR="0011109F" w:rsidRPr="00C243CD" w:rsidRDefault="0011109F" w:rsidP="0011109F">
      <w:pPr>
        <w:rPr>
          <w:rFonts w:ascii="Cambria" w:hAnsi="Cambria"/>
          <w:lang w:val="en-GB"/>
        </w:rPr>
      </w:pPr>
      <w:r w:rsidRPr="00C243CD">
        <w:rPr>
          <w:rFonts w:ascii="Cambria" w:hAnsi="Cambria"/>
          <w:lang w:val="en-GB"/>
        </w:rPr>
        <w:t xml:space="preserve">As such, </w:t>
      </w:r>
      <w:r w:rsidR="00085F8F" w:rsidRPr="00C243CD">
        <w:rPr>
          <w:rFonts w:ascii="Cambria" w:hAnsi="Cambria"/>
          <w:lang w:val="en-GB"/>
        </w:rPr>
        <w:t>the Estimated Early Termination Amount</w:t>
      </w:r>
      <w:r w:rsidRPr="00C243CD">
        <w:rPr>
          <w:rFonts w:ascii="Cambria" w:hAnsi="Cambria"/>
          <w:lang w:val="en-GB"/>
        </w:rPr>
        <w:t xml:space="preserve"> </w:t>
      </w:r>
      <w:r w:rsidR="00085F8F" w:rsidRPr="00C243CD">
        <w:rPr>
          <w:rFonts w:ascii="Cambria" w:hAnsi="Cambria"/>
          <w:lang w:val="en-GB"/>
        </w:rPr>
        <w:t xml:space="preserve">must equal the </w:t>
      </w:r>
      <w:r w:rsidR="00673980" w:rsidRPr="00C243CD">
        <w:rPr>
          <w:rFonts w:ascii="Cambria" w:hAnsi="Cambria"/>
          <w:lang w:val="en-GB"/>
        </w:rPr>
        <w:t>Net Mark-to-Market Value</w:t>
      </w:r>
      <w:r w:rsidR="00085F8F" w:rsidRPr="00C243CD">
        <w:rPr>
          <w:rFonts w:ascii="Cambria" w:hAnsi="Cambria"/>
          <w:lang w:val="en-GB"/>
        </w:rPr>
        <w:t xml:space="preserve"> (c0120</w:t>
      </w:r>
      <w:r w:rsidR="00673980" w:rsidRPr="00C243CD">
        <w:rPr>
          <w:rFonts w:ascii="Cambria" w:hAnsi="Cambria"/>
          <w:lang w:val="en-GB"/>
        </w:rPr>
        <w:t xml:space="preserve">) </w:t>
      </w:r>
      <w:r w:rsidR="00673980" w:rsidRPr="00C243CD">
        <w:rPr>
          <w:rFonts w:ascii="Cambria" w:hAnsi="Cambria"/>
          <w:b/>
          <w:lang w:val="en-GB"/>
        </w:rPr>
        <w:t>-</w:t>
      </w:r>
      <w:r w:rsidR="00673980" w:rsidRPr="00C243CD">
        <w:rPr>
          <w:rFonts w:ascii="Cambria" w:hAnsi="Cambria"/>
          <w:lang w:val="en-GB"/>
        </w:rPr>
        <w:t xml:space="preserve"> </w:t>
      </w:r>
      <w:r w:rsidR="00224474" w:rsidRPr="00C243CD">
        <w:rPr>
          <w:rFonts w:ascii="Cambria" w:hAnsi="Cambria"/>
          <w:lang w:val="en-GB"/>
        </w:rPr>
        <w:t>V</w:t>
      </w:r>
      <w:r w:rsidR="00673980" w:rsidRPr="00C243CD">
        <w:rPr>
          <w:rFonts w:ascii="Cambria" w:hAnsi="Cambria"/>
          <w:lang w:val="en-GB"/>
        </w:rPr>
        <w:t>alue of Net Collateral Posted</w:t>
      </w:r>
      <w:r w:rsidR="00085F8F" w:rsidRPr="00C243CD">
        <w:rPr>
          <w:rFonts w:ascii="Cambria" w:hAnsi="Cambria"/>
          <w:lang w:val="en-GB"/>
        </w:rPr>
        <w:t xml:space="preserve"> (c0130)</w:t>
      </w:r>
      <w:r w:rsidR="00673980" w:rsidRPr="00C243CD">
        <w:rPr>
          <w:rFonts w:ascii="Cambria" w:hAnsi="Cambria"/>
          <w:lang w:val="en-GB"/>
        </w:rPr>
        <w:t xml:space="preserve"> </w:t>
      </w:r>
      <w:r w:rsidR="00673980" w:rsidRPr="00C243CD">
        <w:rPr>
          <w:rFonts w:ascii="Cambria" w:hAnsi="Cambria"/>
          <w:b/>
          <w:lang w:val="en-GB"/>
        </w:rPr>
        <w:t>+</w:t>
      </w:r>
      <w:r w:rsidR="00673980" w:rsidRPr="00C243CD">
        <w:rPr>
          <w:rFonts w:ascii="Cambria" w:hAnsi="Cambria"/>
          <w:lang w:val="en-GB"/>
        </w:rPr>
        <w:t xml:space="preserve"> Estimated Close-Out </w:t>
      </w:r>
      <w:r w:rsidR="00224474" w:rsidRPr="00C243CD">
        <w:rPr>
          <w:rFonts w:ascii="Cambria" w:hAnsi="Cambria"/>
          <w:lang w:val="en-GB"/>
        </w:rPr>
        <w:t>A</w:t>
      </w:r>
      <w:r w:rsidR="00085F8F" w:rsidRPr="00C243CD">
        <w:rPr>
          <w:rFonts w:ascii="Cambria" w:hAnsi="Cambria"/>
          <w:lang w:val="en-GB"/>
        </w:rPr>
        <w:t>mount (c0140)</w:t>
      </w:r>
      <w:r w:rsidR="00673980" w:rsidRPr="00C243CD">
        <w:rPr>
          <w:rFonts w:ascii="Cambria" w:hAnsi="Cambria"/>
          <w:lang w:val="en-GB"/>
        </w:rPr>
        <w:t>.</w:t>
      </w:r>
    </w:p>
    <w:p w14:paraId="57D3AC8F" w14:textId="77777777" w:rsidR="00AC044E" w:rsidRPr="00C243CD" w:rsidRDefault="00AC044E">
      <w:pPr>
        <w:spacing w:after="160" w:line="259" w:lineRule="auto"/>
        <w:jc w:val="left"/>
        <w:rPr>
          <w:rFonts w:ascii="Cambria" w:eastAsiaTheme="majorEastAsia" w:hAnsi="Cambria" w:cstheme="majorBidi"/>
          <w:sz w:val="24"/>
          <w:szCs w:val="24"/>
          <w:u w:val="single"/>
          <w:lang w:val="en-GB"/>
        </w:rPr>
      </w:pPr>
      <w:r w:rsidRPr="00C243CD">
        <w:rPr>
          <w:rFonts w:ascii="Cambria" w:hAnsi="Cambria"/>
          <w:lang w:val="en-GB"/>
        </w:rPr>
        <w:br w:type="page"/>
      </w:r>
    </w:p>
    <w:p w14:paraId="6E8FD0AC" w14:textId="77777777" w:rsidR="00A05BB4" w:rsidRPr="00C243CD" w:rsidRDefault="00A05BB4">
      <w:pPr>
        <w:spacing w:after="160" w:line="259" w:lineRule="auto"/>
        <w:jc w:val="left"/>
        <w:rPr>
          <w:rFonts w:ascii="Cambria" w:hAnsi="Cambria"/>
          <w:lang w:val="en-GB"/>
        </w:rPr>
        <w:sectPr w:rsidR="00A05BB4" w:rsidRPr="00C243CD" w:rsidSect="00AC044E">
          <w:pgSz w:w="11906" w:h="16838"/>
          <w:pgMar w:top="2552" w:right="1440" w:bottom="1440" w:left="1440" w:header="708" w:footer="708" w:gutter="0"/>
          <w:cols w:space="708"/>
          <w:titlePg/>
          <w:docGrid w:linePitch="360"/>
        </w:sectPr>
      </w:pPr>
    </w:p>
    <w:p w14:paraId="1E4557D0" w14:textId="77777777" w:rsidR="00C8142A" w:rsidRPr="00C243CD" w:rsidRDefault="00A05BB4">
      <w:pPr>
        <w:spacing w:after="160" w:line="259" w:lineRule="auto"/>
        <w:jc w:val="left"/>
        <w:rPr>
          <w:rFonts w:ascii="Cambria" w:eastAsiaTheme="majorEastAsia" w:hAnsi="Cambria" w:cstheme="majorBidi"/>
          <w:sz w:val="24"/>
          <w:szCs w:val="24"/>
          <w:u w:val="single"/>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47" behindDoc="0" locked="0" layoutInCell="1" allowOverlap="1" wp14:anchorId="60A3E645" wp14:editId="0AC5D935">
                <wp:simplePos x="0" y="0"/>
                <wp:positionH relativeFrom="page">
                  <wp:align>center</wp:align>
                </wp:positionH>
                <wp:positionV relativeFrom="paragraph">
                  <wp:posOffset>612251</wp:posOffset>
                </wp:positionV>
                <wp:extent cx="9764202" cy="5959475"/>
                <wp:effectExtent l="0" t="0" r="27940" b="15875"/>
                <wp:wrapNone/>
                <wp:docPr id="28" name="Text Box 28"/>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9FDE4" w14:textId="77777777" w:rsidR="002D45CF" w:rsidRPr="00991041" w:rsidRDefault="002D45CF" w:rsidP="00A05BB4">
                            <w:pPr>
                              <w:rPr>
                                <w:b/>
                                <w:lang w:val="en-GB"/>
                              </w:rPr>
                            </w:pPr>
                            <w:r>
                              <w:rPr>
                                <w:b/>
                                <w:lang w:val="en-GB"/>
                              </w:rPr>
                              <w:t>Simplified e</w:t>
                            </w:r>
                            <w:r w:rsidRPr="00991041">
                              <w:rPr>
                                <w:b/>
                                <w:lang w:val="en-GB"/>
                              </w:rPr>
                              <w:t>xample</w:t>
                            </w:r>
                          </w:p>
                          <w:p w14:paraId="37EDE56D" w14:textId="77777777" w:rsidR="002D45CF" w:rsidRPr="00991041" w:rsidRDefault="002D45CF" w:rsidP="00A05BB4">
                            <w:pPr>
                              <w:rPr>
                                <w:lang w:val="en-GB"/>
                              </w:rPr>
                            </w:pPr>
                          </w:p>
                          <w:p w14:paraId="3C875905" w14:textId="77777777" w:rsidR="002D45CF" w:rsidRDefault="002D45CF" w:rsidP="00A05BB4">
                            <w:pPr>
                              <w:rPr>
                                <w:lang w:val="en-GB"/>
                              </w:rPr>
                            </w:pPr>
                            <w:r>
                              <w:rPr>
                                <w:lang w:val="en-GB"/>
                              </w:rPr>
                              <w:t>The reporting institution has entered into an ISDA master netting agreement (version of 2002) with a counterparty incorporated in Italy, covering their bilateral derivative transactions, including a credit support annex</w:t>
                            </w:r>
                            <w:r w:rsidRPr="00247671">
                              <w:rPr>
                                <w:lang w:val="en-GB"/>
                              </w:rPr>
                              <w:t>.</w:t>
                            </w:r>
                            <w:r>
                              <w:rPr>
                                <w:lang w:val="en-GB"/>
                              </w:rPr>
                              <w:t xml:space="preserve"> Under this agreement, 1 458 contracts are covered, with a net mark-to-market value of EUR -1.2 billion to the reporting institution (i.e. a derivative liability). Cash collateral is exchanged on a daily basis and as at the reporting date had a value of EUR 1 billion. The estimated close-out amount is calculated by the entity to result in an additional ‘liability’ of EUR 100 million.</w:t>
                            </w:r>
                          </w:p>
                          <w:p w14:paraId="2F6EE72A" w14:textId="77777777" w:rsidR="002D45CF" w:rsidRDefault="002D45CF" w:rsidP="00A05BB4">
                            <w:pPr>
                              <w:rPr>
                                <w:lang w:val="en-GB"/>
                              </w:rPr>
                            </w:pPr>
                            <w:r>
                              <w:rPr>
                                <w:lang w:val="en-GB"/>
                              </w:rPr>
                              <w:t>The entity has signed the Universal Stay Protocol, yet its counterparty has not done so yet. The governing law that applies is United Kingdom.</w:t>
                            </w:r>
                          </w:p>
                          <w:p w14:paraId="4CA701A3" w14:textId="77777777" w:rsidR="002D45CF" w:rsidRPr="00247671" w:rsidRDefault="002D45CF" w:rsidP="00A05BB4">
                            <w:pPr>
                              <w:rPr>
                                <w:lang w:val="en-GB"/>
                              </w:rPr>
                            </w:pPr>
                            <w:r>
                              <w:rPr>
                                <w:lang w:val="en-GB"/>
                              </w:rPr>
                              <w:t>The insolvency ranking of such transactions under the law of the country where the reporting institution is incorporated is equal to 9.</w:t>
                            </w:r>
                          </w:p>
                          <w:p w14:paraId="3DF699B7" w14:textId="77777777" w:rsidR="002D45CF" w:rsidRPr="00991041" w:rsidRDefault="002D45CF" w:rsidP="00A05BB4">
                            <w:pPr>
                              <w:rPr>
                                <w:sz w:val="16"/>
                                <w:lang w:val="en-GB"/>
                              </w:rPr>
                            </w:pPr>
                          </w:p>
                          <w:p w14:paraId="5FCCB766" w14:textId="0301DF2C" w:rsidR="002D45CF" w:rsidRDefault="00726D6B" w:rsidP="00A05BB4">
                            <w:pPr>
                              <w:rPr>
                                <w:lang w:val="en-GB"/>
                              </w:rPr>
                            </w:pPr>
                            <w:r w:rsidRPr="00726D6B">
                              <w:drawing>
                                <wp:inline distT="0" distB="0" distL="0" distR="0" wp14:anchorId="79DB4F48" wp14:editId="1A9BDFF6">
                                  <wp:extent cx="6661398" cy="1985749"/>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18033" cy="2002632"/>
                                          </a:xfrm>
                                          <a:prstGeom prst="rect">
                                            <a:avLst/>
                                          </a:prstGeom>
                                          <a:noFill/>
                                          <a:ln>
                                            <a:noFill/>
                                          </a:ln>
                                        </pic:spPr>
                                      </pic:pic>
                                    </a:graphicData>
                                  </a:graphic>
                                </wp:inline>
                              </w:drawing>
                            </w:r>
                          </w:p>
                          <w:p w14:paraId="474AD7CD" w14:textId="77777777" w:rsidR="002D45CF" w:rsidRDefault="002D45CF" w:rsidP="00A05BB4">
                            <w:pPr>
                              <w:rPr>
                                <w:lang w:val="en-GB"/>
                              </w:rPr>
                            </w:pPr>
                          </w:p>
                          <w:p w14:paraId="1D45B734" w14:textId="6630211E" w:rsidR="002D45CF" w:rsidRPr="00991041" w:rsidRDefault="00726D6B" w:rsidP="00A05BB4">
                            <w:pPr>
                              <w:rPr>
                                <w:lang w:val="en-GB"/>
                              </w:rPr>
                            </w:pPr>
                            <w:r w:rsidRPr="00726D6B">
                              <w:drawing>
                                <wp:inline distT="0" distB="0" distL="0" distR="0" wp14:anchorId="5F735A3B" wp14:editId="1C3BE949">
                                  <wp:extent cx="6694227" cy="1688918"/>
                                  <wp:effectExtent l="0" t="0" r="0"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733648" cy="16988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A3E645" id="Text Box 28" o:spid="_x0000_s1035" type="#_x0000_t202" style="position:absolute;margin-left:0;margin-top:48.2pt;width:768.85pt;height:469.2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" fillcolor="white [3201]" strokeweight=".5pt">
                <v:textbox style="mso-fit-shape-to-text:t">
                  <w:txbxContent>
                    <w:p w14:paraId="1AD9FDE4" w14:textId="77777777" w:rsidR="002D45CF" w:rsidRPr="00991041" w:rsidRDefault="002D45CF" w:rsidP="00A05BB4">
                      <w:pPr>
                        <w:rPr>
                          <w:b/>
                          <w:lang w:val="en-GB"/>
                        </w:rPr>
                      </w:pPr>
                      <w:r>
                        <w:rPr>
                          <w:b/>
                          <w:lang w:val="en-GB"/>
                        </w:rPr>
                        <w:t>Simplified e</w:t>
                      </w:r>
                      <w:r w:rsidRPr="00991041">
                        <w:rPr>
                          <w:b/>
                          <w:lang w:val="en-GB"/>
                        </w:rPr>
                        <w:t>xample</w:t>
                      </w:r>
                    </w:p>
                    <w:p w14:paraId="37EDE56D" w14:textId="77777777" w:rsidR="002D45CF" w:rsidRPr="00991041" w:rsidRDefault="002D45CF" w:rsidP="00A05BB4">
                      <w:pPr>
                        <w:rPr>
                          <w:lang w:val="en-GB"/>
                        </w:rPr>
                      </w:pPr>
                    </w:p>
                    <w:p w14:paraId="3C875905" w14:textId="77777777" w:rsidR="002D45CF" w:rsidRDefault="002D45CF" w:rsidP="00A05BB4">
                      <w:pPr>
                        <w:rPr>
                          <w:lang w:val="en-GB"/>
                        </w:rPr>
                      </w:pPr>
                      <w:r>
                        <w:rPr>
                          <w:lang w:val="en-GB"/>
                        </w:rPr>
                        <w:t>The reporting institution has entered into an ISDA master netting agreement (version of 2002) with a counterparty incorporated in Italy, covering their bilateral derivative transactions, including a credit support annex</w:t>
                      </w:r>
                      <w:r w:rsidRPr="00247671">
                        <w:rPr>
                          <w:lang w:val="en-GB"/>
                        </w:rPr>
                        <w:t>.</w:t>
                      </w:r>
                      <w:r>
                        <w:rPr>
                          <w:lang w:val="en-GB"/>
                        </w:rPr>
                        <w:t xml:space="preserve"> Under this agreement, 1 458 contracts are covered, with a net mark-to-market value of EUR -1.2 billion to the reporting institution (i.e. a derivative liability). Cash collateral is exchanged on a daily basis and as at the reporting date had a value of EUR 1 billion. The estimated close-out amount is calculated by the entity to result in an additional ‘liability’ of EUR 100 million.</w:t>
                      </w:r>
                    </w:p>
                    <w:p w14:paraId="2F6EE72A" w14:textId="77777777" w:rsidR="002D45CF" w:rsidRDefault="002D45CF" w:rsidP="00A05BB4">
                      <w:pPr>
                        <w:rPr>
                          <w:lang w:val="en-GB"/>
                        </w:rPr>
                      </w:pPr>
                      <w:r>
                        <w:rPr>
                          <w:lang w:val="en-GB"/>
                        </w:rPr>
                        <w:t>The entity has signed the Universal Stay Protocol, yet its counterparty has not done so yet. The governing law that applies is United Kingdom.</w:t>
                      </w:r>
                    </w:p>
                    <w:p w14:paraId="4CA701A3" w14:textId="77777777" w:rsidR="002D45CF" w:rsidRPr="00247671" w:rsidRDefault="002D45CF" w:rsidP="00A05BB4">
                      <w:pPr>
                        <w:rPr>
                          <w:lang w:val="en-GB"/>
                        </w:rPr>
                      </w:pPr>
                      <w:r>
                        <w:rPr>
                          <w:lang w:val="en-GB"/>
                        </w:rPr>
                        <w:t>The insolvency ranking of such transactions under the law of the country where the reporting institution is incorporated is equal to 9.</w:t>
                      </w:r>
                    </w:p>
                    <w:p w14:paraId="3DF699B7" w14:textId="77777777" w:rsidR="002D45CF" w:rsidRPr="00991041" w:rsidRDefault="002D45CF" w:rsidP="00A05BB4">
                      <w:pPr>
                        <w:rPr>
                          <w:sz w:val="16"/>
                          <w:lang w:val="en-GB"/>
                        </w:rPr>
                      </w:pPr>
                    </w:p>
                    <w:p w14:paraId="5FCCB766" w14:textId="0301DF2C" w:rsidR="002D45CF" w:rsidRDefault="00726D6B" w:rsidP="00A05BB4">
                      <w:pPr>
                        <w:rPr>
                          <w:lang w:val="en-GB"/>
                        </w:rPr>
                      </w:pPr>
                      <w:r w:rsidRPr="00726D6B">
                        <w:drawing>
                          <wp:inline distT="0" distB="0" distL="0" distR="0" wp14:anchorId="79DB4F48" wp14:editId="1A9BDFF6">
                            <wp:extent cx="6661398" cy="1985749"/>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18033" cy="2002632"/>
                                    </a:xfrm>
                                    <a:prstGeom prst="rect">
                                      <a:avLst/>
                                    </a:prstGeom>
                                    <a:noFill/>
                                    <a:ln>
                                      <a:noFill/>
                                    </a:ln>
                                  </pic:spPr>
                                </pic:pic>
                              </a:graphicData>
                            </a:graphic>
                          </wp:inline>
                        </w:drawing>
                      </w:r>
                    </w:p>
                    <w:p w14:paraId="474AD7CD" w14:textId="77777777" w:rsidR="002D45CF" w:rsidRDefault="002D45CF" w:rsidP="00A05BB4">
                      <w:pPr>
                        <w:rPr>
                          <w:lang w:val="en-GB"/>
                        </w:rPr>
                      </w:pPr>
                    </w:p>
                    <w:p w14:paraId="1D45B734" w14:textId="6630211E" w:rsidR="002D45CF" w:rsidRPr="00991041" w:rsidRDefault="00726D6B" w:rsidP="00A05BB4">
                      <w:pPr>
                        <w:rPr>
                          <w:lang w:val="en-GB"/>
                        </w:rPr>
                      </w:pPr>
                      <w:r w:rsidRPr="00726D6B">
                        <w:drawing>
                          <wp:inline distT="0" distB="0" distL="0" distR="0" wp14:anchorId="5F735A3B" wp14:editId="1C3BE949">
                            <wp:extent cx="6694227" cy="1688918"/>
                            <wp:effectExtent l="0" t="0" r="0"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733648" cy="1698864"/>
                                    </a:xfrm>
                                    <a:prstGeom prst="rect">
                                      <a:avLst/>
                                    </a:prstGeom>
                                    <a:noFill/>
                                    <a:ln>
                                      <a:noFill/>
                                    </a:ln>
                                  </pic:spPr>
                                </pic:pic>
                              </a:graphicData>
                            </a:graphic>
                          </wp:inline>
                        </w:drawing>
                      </w:r>
                    </w:p>
                  </w:txbxContent>
                </v:textbox>
                <w10:wrap anchorx="page"/>
              </v:shape>
            </w:pict>
          </mc:Fallback>
        </mc:AlternateContent>
      </w:r>
      <w:r w:rsidR="00C8142A" w:rsidRPr="00C243CD">
        <w:rPr>
          <w:rFonts w:ascii="Cambria" w:hAnsi="Cambria"/>
          <w:lang w:val="en-GB"/>
        </w:rPr>
        <w:br w:type="page"/>
      </w:r>
    </w:p>
    <w:p w14:paraId="65468DD1" w14:textId="77777777" w:rsidR="00A05BB4" w:rsidRPr="00C243CD" w:rsidRDefault="00A05BB4" w:rsidP="00B27610">
      <w:pPr>
        <w:pStyle w:val="Heading3"/>
        <w:numPr>
          <w:ilvl w:val="0"/>
          <w:numId w:val="22"/>
        </w:numPr>
        <w:ind w:left="426" w:hanging="426"/>
        <w:rPr>
          <w:rFonts w:ascii="Cambria" w:hAnsi="Cambria"/>
          <w:lang w:val="en-GB"/>
        </w:rPr>
        <w:sectPr w:rsidR="00A05BB4" w:rsidRPr="00C243CD" w:rsidSect="00991041">
          <w:pgSz w:w="16838" w:h="11906" w:orient="landscape"/>
          <w:pgMar w:top="1440" w:right="2552" w:bottom="1440" w:left="1440" w:header="709" w:footer="709" w:gutter="0"/>
          <w:cols w:space="708"/>
          <w:titlePg/>
          <w:docGrid w:linePitch="360"/>
        </w:sectPr>
      </w:pPr>
    </w:p>
    <w:p w14:paraId="4BB3127C" w14:textId="49FEF038" w:rsidR="005E419B" w:rsidRPr="00C243CD" w:rsidRDefault="00473699" w:rsidP="00C243CD">
      <w:pPr>
        <w:pStyle w:val="Heading3"/>
        <w:numPr>
          <w:ilvl w:val="0"/>
          <w:numId w:val="22"/>
        </w:numPr>
        <w:ind w:left="426" w:hanging="426"/>
        <w:rPr>
          <w:rFonts w:ascii="Cambria" w:hAnsi="Cambria"/>
          <w:lang w:val="en-GB"/>
        </w:rPr>
      </w:pPr>
      <w:bookmarkStart w:id="218" w:name="_Toc525720301"/>
      <w:bookmarkStart w:id="219" w:name="_Toc525720541"/>
      <w:bookmarkStart w:id="220" w:name="_Toc12973031"/>
      <w:bookmarkStart w:id="221" w:name="_Toc13755761"/>
      <w:bookmarkEnd w:id="218"/>
      <w:bookmarkEnd w:id="219"/>
      <w:commentRangeStart w:id="222"/>
      <w:r w:rsidRPr="00C243CD">
        <w:rPr>
          <w:rFonts w:ascii="Cambria" w:hAnsi="Cambria"/>
          <w:lang w:val="en-GB"/>
        </w:rPr>
        <w:lastRenderedPageBreak/>
        <w:t>T08.00 - Secured Finance</w:t>
      </w:r>
      <w:bookmarkEnd w:id="220"/>
      <w:commentRangeEnd w:id="222"/>
      <w:r w:rsidR="004A1962">
        <w:rPr>
          <w:rStyle w:val="CommentReference"/>
          <w:rFonts w:ascii="Cambria" w:eastAsia="MS Mincho" w:hAnsi="Cambria" w:cs="Times New Roman"/>
          <w:u w:val="none"/>
          <w:lang w:val="en-US"/>
        </w:rPr>
        <w:commentReference w:id="222"/>
      </w:r>
      <w:bookmarkEnd w:id="221"/>
    </w:p>
    <w:p w14:paraId="5A56F3DC" w14:textId="77777777" w:rsidR="00E92F58" w:rsidRPr="00C243CD" w:rsidRDefault="00E92F58" w:rsidP="00991041">
      <w:pPr>
        <w:rPr>
          <w:rFonts w:ascii="Cambria" w:hAnsi="Cambria"/>
          <w:lang w:val="en-GB"/>
        </w:rPr>
      </w:pPr>
      <w:r w:rsidRPr="00C243CD">
        <w:rPr>
          <w:rFonts w:ascii="Cambria" w:hAnsi="Cambria"/>
          <w:lang w:val="en-GB"/>
        </w:rPr>
        <w:t>Secured finance includes all financing arrangements that are subject to the provision of collateral, pledges or liens, excluding, for example, securities which have to be reported in T04.00. Typical examples of such arrangements are central bank financing or repurchase agreements.</w:t>
      </w:r>
    </w:p>
    <w:p w14:paraId="051626D3" w14:textId="2EAF8F34" w:rsidR="005E419B" w:rsidRPr="00C243CD" w:rsidRDefault="00233C00" w:rsidP="00991041">
      <w:pPr>
        <w:rPr>
          <w:rFonts w:ascii="Cambria" w:hAnsi="Cambria"/>
          <w:lang w:val="en-GB"/>
        </w:rPr>
      </w:pPr>
      <w:r w:rsidRPr="00C243CD">
        <w:rPr>
          <w:rFonts w:ascii="Cambria" w:hAnsi="Cambria"/>
          <w:lang w:val="en-GB"/>
        </w:rPr>
        <w:t>For the purposes of this table, secured finance arrangements have to be reported by netting set, i.e. each netting set reported as an individual line item.</w:t>
      </w:r>
      <w:r w:rsidR="00E92F58" w:rsidRPr="00C243CD">
        <w:rPr>
          <w:rFonts w:ascii="Cambria" w:hAnsi="Cambria"/>
          <w:lang w:val="en-GB"/>
        </w:rPr>
        <w:t xml:space="preserve"> No reporting thresholds are applicable in this respect.</w:t>
      </w:r>
    </w:p>
    <w:p w14:paraId="36161047" w14:textId="19A36D1E" w:rsidR="004F470B" w:rsidRPr="00C243CD" w:rsidRDefault="00DA3A5D" w:rsidP="009474F1">
      <w:pPr>
        <w:pStyle w:val="Heading4"/>
        <w:rPr>
          <w:rFonts w:ascii="Cambria" w:hAnsi="Cambria"/>
          <w:lang w:val="en-GB"/>
        </w:rPr>
      </w:pPr>
      <w:r w:rsidRPr="00C243CD">
        <w:rPr>
          <w:rFonts w:ascii="Cambria" w:hAnsi="Cambria"/>
          <w:lang w:val="en-GB"/>
        </w:rPr>
        <w:t>c00</w:t>
      </w:r>
      <w:r w:rsidR="004F470B" w:rsidRPr="00C243CD">
        <w:rPr>
          <w:rFonts w:ascii="Cambria" w:hAnsi="Cambria"/>
          <w:lang w:val="en-GB"/>
        </w:rPr>
        <w:t>10 - N°</w:t>
      </w:r>
    </w:p>
    <w:p w14:paraId="440E5355" w14:textId="3F163379" w:rsidR="00726D6B" w:rsidRPr="00C243CD" w:rsidRDefault="004F470B" w:rsidP="007C54D2">
      <w:pPr>
        <w:rPr>
          <w:rFonts w:ascii="Cambria" w:hAnsi="Cambria"/>
          <w:lang w:val="en-GB"/>
        </w:rPr>
      </w:pPr>
      <w:r w:rsidRPr="00C243CD">
        <w:rPr>
          <w:rFonts w:ascii="Cambria" w:hAnsi="Cambria"/>
          <w:lang w:val="en-GB"/>
        </w:rPr>
        <w:t>Unique number/primary key to identify the line items.</w:t>
      </w:r>
    </w:p>
    <w:p w14:paraId="1F753C00" w14:textId="1AC0A5D7" w:rsidR="00DA5C81" w:rsidRPr="00C243CD" w:rsidRDefault="00DA3A5D" w:rsidP="009474F1">
      <w:pPr>
        <w:pStyle w:val="Heading4"/>
        <w:rPr>
          <w:rFonts w:ascii="Cambria" w:hAnsi="Cambria"/>
          <w:lang w:val="en-GB"/>
        </w:rPr>
      </w:pPr>
      <w:r w:rsidRPr="00C243CD">
        <w:rPr>
          <w:rFonts w:ascii="Cambria" w:hAnsi="Cambria"/>
          <w:lang w:val="en-GB"/>
        </w:rPr>
        <w:t>c00</w:t>
      </w:r>
      <w:r w:rsidR="00DA5C81" w:rsidRPr="00C243CD">
        <w:rPr>
          <w:rFonts w:ascii="Cambria" w:hAnsi="Cambria"/>
          <w:lang w:val="en-GB"/>
        </w:rPr>
        <w:t>20 - Column</w:t>
      </w:r>
    </w:p>
    <w:p w14:paraId="6F8B99EC" w14:textId="77777777" w:rsidR="00DF6C6B" w:rsidRPr="00C243CD" w:rsidRDefault="00DF6C6B" w:rsidP="009474F1">
      <w:pPr>
        <w:rPr>
          <w:rFonts w:ascii="Cambria" w:hAnsi="Cambria"/>
          <w:lang w:val="en-GB"/>
        </w:rPr>
      </w:pPr>
      <w:r w:rsidRPr="00C243CD">
        <w:rPr>
          <w:rFonts w:ascii="Cambria" w:hAnsi="Cambria"/>
          <w:lang w:val="en-GB"/>
        </w:rPr>
        <w:t xml:space="preserve">For each netting set, </w:t>
      </w:r>
      <w:r w:rsidR="0024445F" w:rsidRPr="00C243CD">
        <w:rPr>
          <w:rFonts w:ascii="Cambria" w:hAnsi="Cambria"/>
          <w:lang w:val="en-GB"/>
        </w:rPr>
        <w:t>a reconciliation with the counterparty class in T01.00 to which the liability is owed</w:t>
      </w:r>
      <w:r w:rsidRPr="00C243CD">
        <w:rPr>
          <w:rFonts w:ascii="Cambria" w:hAnsi="Cambria"/>
          <w:lang w:val="en-GB"/>
        </w:rPr>
        <w:t xml:space="preserve"> has to be provided</w:t>
      </w:r>
      <w:r w:rsidR="00E62E61" w:rsidRPr="00C243CD">
        <w:rPr>
          <w:rFonts w:ascii="Cambria" w:hAnsi="Cambria"/>
          <w:lang w:val="en-GB"/>
        </w:rPr>
        <w:t xml:space="preserve"> f</w:t>
      </w:r>
      <w:r w:rsidR="00FC47FC" w:rsidRPr="00C243CD">
        <w:rPr>
          <w:rFonts w:ascii="Cambria" w:hAnsi="Cambria"/>
          <w:lang w:val="en-GB"/>
        </w:rPr>
        <w:t>rom predefined list of values.</w:t>
      </w:r>
    </w:p>
    <w:p w14:paraId="599CEF57" w14:textId="02A71597" w:rsidR="0030088C" w:rsidRPr="00C243CD" w:rsidRDefault="00DA3A5D" w:rsidP="009474F1">
      <w:pPr>
        <w:pStyle w:val="Heading4"/>
        <w:rPr>
          <w:rFonts w:ascii="Cambria" w:hAnsi="Cambria"/>
          <w:lang w:val="en-GB"/>
        </w:rPr>
      </w:pPr>
      <w:r w:rsidRPr="00C243CD">
        <w:rPr>
          <w:rFonts w:ascii="Cambria" w:hAnsi="Cambria"/>
          <w:lang w:val="en-GB"/>
        </w:rPr>
        <w:t>c00</w:t>
      </w:r>
      <w:r w:rsidR="0030088C" w:rsidRPr="00C243CD">
        <w:rPr>
          <w:rFonts w:ascii="Cambria" w:hAnsi="Cambria"/>
          <w:lang w:val="en-GB"/>
        </w:rPr>
        <w:t>30 - Insolvency Ranking</w:t>
      </w:r>
    </w:p>
    <w:p w14:paraId="7496B924" w14:textId="77777777" w:rsidR="0030088C" w:rsidRPr="00C243CD" w:rsidRDefault="0030088C" w:rsidP="009474F1">
      <w:pPr>
        <w:rPr>
          <w:rFonts w:ascii="Cambria" w:hAnsi="Cambria"/>
          <w:lang w:val="en-GB"/>
        </w:rPr>
      </w:pPr>
      <w:r w:rsidRPr="00C243CD">
        <w:rPr>
          <w:rFonts w:ascii="Cambria" w:hAnsi="Cambria"/>
          <w:lang w:val="en-GB"/>
        </w:rPr>
        <w:t xml:space="preserve">Identified ranking in line with </w:t>
      </w:r>
      <w:r w:rsidR="00E62E61" w:rsidRPr="00C243CD">
        <w:rPr>
          <w:rFonts w:ascii="Cambria" w:hAnsi="Cambria"/>
          <w:lang w:val="en-GB"/>
        </w:rPr>
        <w:t xml:space="preserve">Part 1, Section 6 </w:t>
      </w:r>
      <w:r w:rsidR="00D202BC" w:rsidRPr="00C243CD">
        <w:rPr>
          <w:rFonts w:ascii="Cambria" w:hAnsi="Cambria"/>
          <w:lang w:val="en-GB"/>
        </w:rPr>
        <w:t xml:space="preserve">of the </w:t>
      </w:r>
      <w:r w:rsidR="00341874" w:rsidRPr="00C243CD">
        <w:rPr>
          <w:rFonts w:ascii="Cambria" w:hAnsi="Cambria"/>
          <w:lang w:val="en-GB"/>
        </w:rPr>
        <w:t>guidance</w:t>
      </w:r>
      <w:r w:rsidR="00D202BC" w:rsidRPr="00C243CD">
        <w:rPr>
          <w:rFonts w:ascii="Cambria" w:hAnsi="Cambria"/>
          <w:lang w:val="en-GB"/>
        </w:rPr>
        <w:t>.</w:t>
      </w:r>
    </w:p>
    <w:p w14:paraId="5549806E" w14:textId="0F6930C8"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40 - Master Agreement ID</w:t>
      </w:r>
    </w:p>
    <w:p w14:paraId="7FD0DA98" w14:textId="77777777" w:rsidR="002B5DBA" w:rsidRPr="00C243CD" w:rsidRDefault="002B5DBA" w:rsidP="009474F1">
      <w:pPr>
        <w:rPr>
          <w:rFonts w:ascii="Cambria" w:hAnsi="Cambria"/>
          <w:lang w:val="en-GB"/>
        </w:rPr>
      </w:pPr>
      <w:r w:rsidRPr="00C243CD">
        <w:rPr>
          <w:rFonts w:ascii="Cambria" w:hAnsi="Cambria"/>
          <w:lang w:val="en-GB"/>
        </w:rPr>
        <w:t>Internal identifier of the master agreement</w:t>
      </w:r>
      <w:r w:rsidR="00F36C80" w:rsidRPr="00C243CD">
        <w:rPr>
          <w:rFonts w:ascii="Cambria" w:hAnsi="Cambria"/>
          <w:lang w:val="en-GB"/>
        </w:rPr>
        <w:t xml:space="preserve"> or single contract</w:t>
      </w:r>
      <w:r w:rsidRPr="00C243CD">
        <w:rPr>
          <w:rFonts w:ascii="Cambria" w:hAnsi="Cambria"/>
          <w:lang w:val="en-GB"/>
        </w:rPr>
        <w:t>.</w:t>
      </w:r>
    </w:p>
    <w:p w14:paraId="0A5EE2DF" w14:textId="6301206D" w:rsidR="002B5DBA" w:rsidRPr="00C243CD" w:rsidRDefault="00DA3A5D" w:rsidP="009474F1">
      <w:pPr>
        <w:pStyle w:val="Heading4"/>
        <w:rPr>
          <w:rFonts w:ascii="Cambria" w:hAnsi="Cambria"/>
          <w:lang w:val="en-GB"/>
        </w:rPr>
      </w:pPr>
      <w:r w:rsidRPr="00C243CD">
        <w:rPr>
          <w:rFonts w:ascii="Cambria" w:hAnsi="Cambria"/>
          <w:lang w:val="en-GB"/>
        </w:rPr>
        <w:t>c00</w:t>
      </w:r>
      <w:r w:rsidR="002B5DBA" w:rsidRPr="00C243CD">
        <w:rPr>
          <w:rFonts w:ascii="Cambria" w:hAnsi="Cambria"/>
          <w:lang w:val="en-GB"/>
        </w:rPr>
        <w:t>50 - Type of MA (e.g. GMRA)</w:t>
      </w:r>
    </w:p>
    <w:p w14:paraId="75323CFB" w14:textId="77777777" w:rsidR="002B5DBA" w:rsidRPr="00C243CD" w:rsidRDefault="002B5DBA" w:rsidP="004B4B43">
      <w:pPr>
        <w:rPr>
          <w:rFonts w:ascii="Cambria" w:hAnsi="Cambria"/>
          <w:lang w:val="en-GB"/>
        </w:rPr>
      </w:pPr>
      <w:r w:rsidRPr="00C243CD">
        <w:rPr>
          <w:rFonts w:ascii="Cambria" w:hAnsi="Cambria"/>
          <w:lang w:val="en-GB"/>
        </w:rPr>
        <w:t>Specifying the format type used for the master agreement</w:t>
      </w:r>
      <w:r w:rsidR="004B4B43" w:rsidRPr="00C243CD">
        <w:rPr>
          <w:rFonts w:ascii="Cambria" w:hAnsi="Cambria"/>
          <w:lang w:val="en-GB"/>
        </w:rPr>
        <w:t>, either ‘ICMA 2011 GMRA’, ‘ICMA 2000 GMRA’, ‘ICMA 1995 GMRA’, ‘ICMA 1992 GMRA’</w:t>
      </w:r>
      <w:r w:rsidR="00F36C80" w:rsidRPr="00C243CD">
        <w:rPr>
          <w:rFonts w:ascii="Cambria" w:hAnsi="Cambria"/>
          <w:lang w:val="en-GB"/>
        </w:rPr>
        <w:t>,</w:t>
      </w:r>
      <w:r w:rsidR="004B4B43" w:rsidRPr="00C243CD">
        <w:rPr>
          <w:rFonts w:ascii="Cambria" w:hAnsi="Cambria"/>
          <w:lang w:val="en-GB"/>
        </w:rPr>
        <w:t xml:space="preserve"> ‘Other GMRA’ </w:t>
      </w:r>
      <w:r w:rsidR="00F36C80" w:rsidRPr="00C243CD">
        <w:rPr>
          <w:rFonts w:ascii="Cambria" w:hAnsi="Cambria"/>
          <w:lang w:val="en-GB"/>
        </w:rPr>
        <w:t xml:space="preserve">or ‘Single Contract’ </w:t>
      </w:r>
      <w:r w:rsidR="004B4B43" w:rsidRPr="00C243CD">
        <w:rPr>
          <w:rFonts w:ascii="Cambria" w:hAnsi="Cambria"/>
          <w:lang w:val="en-GB"/>
        </w:rPr>
        <w:t>from a predefined list</w:t>
      </w:r>
      <w:r w:rsidRPr="00C243CD">
        <w:rPr>
          <w:rFonts w:ascii="Cambria" w:hAnsi="Cambria"/>
          <w:lang w:val="en-GB"/>
        </w:rPr>
        <w:t>.</w:t>
      </w:r>
    </w:p>
    <w:p w14:paraId="3F8597D2" w14:textId="6D920F96" w:rsidR="00FD7424" w:rsidRDefault="00FD7424" w:rsidP="00FD7424">
      <w:pPr>
        <w:pStyle w:val="Heading4"/>
        <w:rPr>
          <w:rFonts w:ascii="Cambria" w:hAnsi="Cambria"/>
          <w:lang w:val="en-GB"/>
        </w:rPr>
      </w:pPr>
      <w:r>
        <w:rPr>
          <w:rFonts w:ascii="Cambria" w:hAnsi="Cambria"/>
          <w:lang w:val="en-GB"/>
        </w:rPr>
        <w:t>c0055 – Entity name of the lending entity</w:t>
      </w:r>
    </w:p>
    <w:p w14:paraId="19BB89D6" w14:textId="4E3BA536" w:rsidR="00FD7424" w:rsidRDefault="00FD7424" w:rsidP="00FD7424">
      <w:pPr>
        <w:rPr>
          <w:rFonts w:ascii="Cambria" w:hAnsi="Cambria"/>
          <w:lang w:val="en-GB"/>
        </w:rPr>
      </w:pPr>
      <w:r w:rsidRPr="008125B1">
        <w:rPr>
          <w:rFonts w:ascii="Cambria" w:hAnsi="Cambria"/>
          <w:lang w:val="en-GB"/>
        </w:rPr>
        <w:t xml:space="preserve">Must be different from the entity name </w:t>
      </w:r>
      <w:r>
        <w:rPr>
          <w:rFonts w:ascii="Cambria" w:hAnsi="Cambria"/>
          <w:lang w:val="en-GB"/>
        </w:rPr>
        <w:t>reported in</w:t>
      </w:r>
      <w:r w:rsidRPr="008125B1">
        <w:rPr>
          <w:rFonts w:ascii="Cambria" w:hAnsi="Cambria"/>
          <w:lang w:val="en-GB"/>
        </w:rPr>
        <w:t xml:space="preserve"> </w:t>
      </w:r>
      <w:r>
        <w:rPr>
          <w:rFonts w:ascii="Cambria" w:hAnsi="Cambria"/>
          <w:lang w:val="en-GB"/>
        </w:rPr>
        <w:t>T99.00-r</w:t>
      </w:r>
      <w:r w:rsidRPr="008125B1">
        <w:rPr>
          <w:rFonts w:ascii="Cambria" w:hAnsi="Cambria"/>
          <w:lang w:val="en-GB"/>
        </w:rPr>
        <w:t>0010</w:t>
      </w:r>
      <w:r>
        <w:rPr>
          <w:rFonts w:ascii="Cambria" w:hAnsi="Cambria"/>
          <w:lang w:val="en-GB"/>
        </w:rPr>
        <w:t>.</w:t>
      </w:r>
    </w:p>
    <w:p w14:paraId="235A5D53" w14:textId="5EF3F913" w:rsidR="002B5DBA" w:rsidRPr="00C243CD" w:rsidRDefault="00DA3A5D" w:rsidP="00E34D1F">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6</w:t>
      </w:r>
      <w:r w:rsidR="002B5DBA" w:rsidRPr="00C243CD">
        <w:rPr>
          <w:rFonts w:ascii="Cambria" w:hAnsi="Cambria"/>
          <w:lang w:val="en-GB"/>
        </w:rPr>
        <w:t xml:space="preserve">0 - </w:t>
      </w:r>
      <w:r w:rsidR="00E34D1F" w:rsidRPr="00C243CD">
        <w:rPr>
          <w:rFonts w:ascii="Cambria" w:hAnsi="Cambria"/>
          <w:lang w:val="en-GB"/>
        </w:rPr>
        <w:t>Counterparty (LEI/MFI/Local Identifier)</w:t>
      </w:r>
    </w:p>
    <w:p w14:paraId="233C82F1" w14:textId="77777777" w:rsidR="00C30939" w:rsidRPr="00C243CD" w:rsidRDefault="00C30939" w:rsidP="009474F1">
      <w:pPr>
        <w:pStyle w:val="Heading4"/>
        <w:rPr>
          <w:rFonts w:ascii="Cambria" w:hAnsi="Cambria"/>
          <w:i w:val="0"/>
          <w:color w:val="auto"/>
          <w:lang w:val="en-GB"/>
        </w:rPr>
      </w:pPr>
      <w:r w:rsidRPr="00C243CD">
        <w:rPr>
          <w:rFonts w:ascii="Cambria" w:hAnsi="Cambria"/>
          <w:i w:val="0"/>
          <w:color w:val="auto"/>
          <w:lang w:val="en-GB"/>
        </w:rPr>
        <w:t>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t>
      </w:r>
    </w:p>
    <w:p w14:paraId="0A7F78EA" w14:textId="62667B72" w:rsidR="00DD7134" w:rsidRDefault="00DD7134" w:rsidP="00DD7134">
      <w:pPr>
        <w:rPr>
          <w:rFonts w:ascii="Cambria" w:eastAsiaTheme="majorEastAsia" w:hAnsi="Cambria" w:cstheme="majorBidi"/>
          <w:i/>
          <w:iCs/>
          <w:color w:val="2E74B5" w:themeColor="accent1" w:themeShade="BF"/>
          <w:lang w:val="en-GB"/>
        </w:rPr>
      </w:pPr>
      <w:r>
        <w:rPr>
          <w:rFonts w:ascii="Cambria" w:eastAsiaTheme="majorEastAsia" w:hAnsi="Cambria" w:cstheme="majorBidi"/>
          <w:i/>
          <w:iCs/>
          <w:color w:val="2E74B5" w:themeColor="accent1" w:themeShade="BF"/>
          <w:lang w:val="en-GB"/>
        </w:rPr>
        <w:t>c</w:t>
      </w:r>
      <w:r w:rsidRPr="00047E4D">
        <w:rPr>
          <w:rFonts w:ascii="Cambria" w:eastAsiaTheme="majorEastAsia" w:hAnsi="Cambria" w:cstheme="majorBidi"/>
          <w:i/>
          <w:iCs/>
          <w:color w:val="2E74B5" w:themeColor="accent1" w:themeShade="BF"/>
          <w:lang w:val="en-GB"/>
        </w:rPr>
        <w:t>00</w:t>
      </w:r>
      <w:r>
        <w:rPr>
          <w:rFonts w:ascii="Cambria" w:eastAsiaTheme="majorEastAsia" w:hAnsi="Cambria" w:cstheme="majorBidi"/>
          <w:i/>
          <w:iCs/>
          <w:color w:val="2E74B5" w:themeColor="accent1" w:themeShade="BF"/>
          <w:lang w:val="en-GB"/>
        </w:rPr>
        <w:t>65</w:t>
      </w:r>
      <w:r w:rsidRPr="00047E4D">
        <w:rPr>
          <w:rFonts w:ascii="Cambria" w:eastAsiaTheme="majorEastAsia" w:hAnsi="Cambria" w:cstheme="majorBidi"/>
          <w:i/>
          <w:iCs/>
          <w:color w:val="2E74B5" w:themeColor="accent1" w:themeShade="BF"/>
          <w:lang w:val="en-GB"/>
        </w:rPr>
        <w:t xml:space="preserve"> –Type of Identifier</w:t>
      </w:r>
    </w:p>
    <w:p w14:paraId="77B2781F" w14:textId="17CA400C" w:rsidR="00DD7134" w:rsidRPr="003D6B3C" w:rsidRDefault="003D6B3C" w:rsidP="00DD7134">
      <w:pPr>
        <w:rPr>
          <w:rFonts w:ascii="Cambria" w:hAnsi="Cambria"/>
          <w:lang w:val="en-GB"/>
        </w:rPr>
      </w:pPr>
      <w:r>
        <w:rPr>
          <w:rFonts w:ascii="Cambria" w:hAnsi="Cambria"/>
          <w:lang w:val="en-GB"/>
        </w:rPr>
        <w:t>To be chosen among the following options</w:t>
      </w:r>
      <w:r w:rsidRPr="003D6B3C">
        <w:rPr>
          <w:rFonts w:ascii="Cambria" w:hAnsi="Cambria"/>
          <w:lang w:val="en-GB"/>
        </w:rPr>
        <w:t>: “LEI code”, “MFI code” or “Type of identifier, other than LEI or MFI code”.</w:t>
      </w:r>
    </w:p>
    <w:p w14:paraId="0D3989F4" w14:textId="50A74916"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7</w:t>
      </w:r>
      <w:r w:rsidR="002B5DBA" w:rsidRPr="00C243CD">
        <w:rPr>
          <w:rFonts w:ascii="Cambria" w:hAnsi="Cambria"/>
          <w:lang w:val="en-GB"/>
        </w:rPr>
        <w:t>0 - Country of Counterparty</w:t>
      </w:r>
    </w:p>
    <w:p w14:paraId="736E05AB" w14:textId="6CFB2ACE" w:rsidR="002B5DBA" w:rsidRPr="00C243CD" w:rsidRDefault="002B5DBA" w:rsidP="009474F1">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where the counterparty is incorporated.</w:t>
      </w:r>
    </w:p>
    <w:p w14:paraId="5EDC5B85" w14:textId="3CABB326"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8</w:t>
      </w:r>
      <w:r w:rsidR="002B5DBA" w:rsidRPr="00C243CD">
        <w:rPr>
          <w:rFonts w:ascii="Cambria" w:hAnsi="Cambria"/>
          <w:lang w:val="en-GB"/>
        </w:rPr>
        <w:t xml:space="preserve">0 - </w:t>
      </w:r>
      <w:r w:rsidR="00965702" w:rsidRPr="00C243CD">
        <w:rPr>
          <w:rFonts w:ascii="Cambria" w:hAnsi="Cambria"/>
          <w:lang w:val="en-GB"/>
        </w:rPr>
        <w:t>Governing Law of MA/single deal</w:t>
      </w:r>
    </w:p>
    <w:p w14:paraId="46AFD475" w14:textId="19862F6B" w:rsidR="002B5DBA" w:rsidRPr="00C243CD" w:rsidRDefault="002B5DBA" w:rsidP="009474F1">
      <w:pPr>
        <w:rPr>
          <w:rFonts w:ascii="Cambria" w:hAnsi="Cambria"/>
          <w:lang w:val="en-GB"/>
        </w:rPr>
      </w:pPr>
      <w:r w:rsidRPr="00C243CD">
        <w:rPr>
          <w:rFonts w:ascii="Cambria" w:hAnsi="Cambria"/>
          <w:lang w:val="en-GB"/>
        </w:rPr>
        <w:t xml:space="preserve">The </w:t>
      </w:r>
      <w:r w:rsidR="00DE7525">
        <w:rPr>
          <w:rFonts w:ascii="Cambria" w:hAnsi="Cambria"/>
          <w:lang w:val="en-GB"/>
        </w:rPr>
        <w:t>name</w:t>
      </w:r>
      <w:r w:rsidRPr="00C243CD">
        <w:rPr>
          <w:rFonts w:ascii="Cambria" w:hAnsi="Cambria"/>
          <w:lang w:val="en-GB"/>
        </w:rPr>
        <w:t xml:space="preserve"> of the country </w:t>
      </w:r>
      <w:r w:rsidR="00F64A95" w:rsidRPr="00C243CD">
        <w:rPr>
          <w:rFonts w:ascii="Cambria" w:hAnsi="Cambria"/>
          <w:lang w:val="en-GB"/>
        </w:rPr>
        <w:t>whose</w:t>
      </w:r>
      <w:r w:rsidRPr="00C243CD">
        <w:rPr>
          <w:rFonts w:ascii="Cambria" w:hAnsi="Cambria"/>
          <w:lang w:val="en-GB"/>
        </w:rPr>
        <w:t xml:space="preserve"> law governs the </w:t>
      </w:r>
      <w:r w:rsidR="00965702" w:rsidRPr="00C243CD">
        <w:rPr>
          <w:rFonts w:ascii="Cambria" w:hAnsi="Cambria"/>
          <w:lang w:val="en-GB"/>
        </w:rPr>
        <w:t>MA/single contract</w:t>
      </w:r>
      <w:r w:rsidRPr="00C243CD">
        <w:rPr>
          <w:rFonts w:ascii="Cambria" w:hAnsi="Cambria"/>
          <w:lang w:val="en-GB"/>
        </w:rPr>
        <w:t>.</w:t>
      </w:r>
    </w:p>
    <w:p w14:paraId="62766FDB" w14:textId="220490B3" w:rsidR="002B5DBA" w:rsidRPr="00C243CD" w:rsidRDefault="00DA3A5D" w:rsidP="009474F1">
      <w:pPr>
        <w:pStyle w:val="Heading4"/>
        <w:rPr>
          <w:rFonts w:ascii="Cambria" w:hAnsi="Cambria"/>
          <w:lang w:val="en-GB"/>
        </w:rPr>
      </w:pPr>
      <w:r w:rsidRPr="00C243CD">
        <w:rPr>
          <w:rFonts w:ascii="Cambria" w:hAnsi="Cambria"/>
          <w:lang w:val="en-GB"/>
        </w:rPr>
        <w:t>c00</w:t>
      </w:r>
      <w:r w:rsidR="003E7184" w:rsidRPr="00C243CD">
        <w:rPr>
          <w:rFonts w:ascii="Cambria" w:hAnsi="Cambria"/>
          <w:lang w:val="en-GB"/>
        </w:rPr>
        <w:t>9</w:t>
      </w:r>
      <w:r w:rsidR="002B5DBA" w:rsidRPr="00C243CD">
        <w:rPr>
          <w:rFonts w:ascii="Cambria" w:hAnsi="Cambria"/>
          <w:lang w:val="en-GB"/>
        </w:rPr>
        <w:t>0 - Number of Transactions Covered</w:t>
      </w:r>
    </w:p>
    <w:p w14:paraId="74AE1F37" w14:textId="77777777" w:rsidR="002B5DBA" w:rsidRPr="00C243CD" w:rsidRDefault="002B5DBA" w:rsidP="009474F1">
      <w:pPr>
        <w:rPr>
          <w:rFonts w:ascii="Cambria" w:hAnsi="Cambria"/>
          <w:lang w:val="en-GB"/>
        </w:rPr>
      </w:pPr>
      <w:r w:rsidRPr="00C243CD">
        <w:rPr>
          <w:rFonts w:ascii="Cambria" w:hAnsi="Cambria"/>
          <w:lang w:val="en-GB"/>
        </w:rPr>
        <w:t>Indicate the number of individual contracts that are included in the netting set of the MA.</w:t>
      </w:r>
    </w:p>
    <w:p w14:paraId="56F06815" w14:textId="242FD8FA"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0</w:t>
      </w:r>
      <w:r w:rsidR="002B5DBA" w:rsidRPr="00C243CD">
        <w:rPr>
          <w:rFonts w:ascii="Cambria" w:hAnsi="Cambria"/>
          <w:lang w:val="en-GB"/>
        </w:rPr>
        <w:t>0 - Net Amount of Funding Received</w:t>
      </w:r>
    </w:p>
    <w:p w14:paraId="5FD5C512" w14:textId="77777777" w:rsidR="002B5DBA" w:rsidRPr="00C243CD" w:rsidRDefault="002B5DBA" w:rsidP="009474F1">
      <w:pPr>
        <w:rPr>
          <w:rFonts w:ascii="Cambria" w:hAnsi="Cambria"/>
          <w:lang w:val="en-GB"/>
        </w:rPr>
      </w:pPr>
      <w:r w:rsidRPr="00C243CD">
        <w:rPr>
          <w:rFonts w:ascii="Cambria" w:hAnsi="Cambria"/>
          <w:lang w:val="en-GB"/>
        </w:rPr>
        <w:t>Provide the net amount of funding received under secured financing agreements</w:t>
      </w:r>
      <w:r w:rsidR="00A32783" w:rsidRPr="00C243CD">
        <w:rPr>
          <w:rFonts w:ascii="Cambria" w:hAnsi="Cambria"/>
          <w:lang w:val="en-GB"/>
        </w:rPr>
        <w:t>, taking into account all transactions subject to the netting arrangement</w:t>
      </w:r>
      <w:r w:rsidRPr="00C243CD">
        <w:rPr>
          <w:rFonts w:ascii="Cambria" w:hAnsi="Cambria"/>
          <w:lang w:val="en-GB"/>
        </w:rPr>
        <w:t>.</w:t>
      </w:r>
    </w:p>
    <w:p w14:paraId="26F61C68" w14:textId="5AA3C044" w:rsidR="002B5DBA" w:rsidRPr="00C243CD" w:rsidRDefault="00DA3A5D" w:rsidP="009474F1">
      <w:pPr>
        <w:pStyle w:val="Heading4"/>
        <w:rPr>
          <w:rFonts w:ascii="Cambria" w:hAnsi="Cambria"/>
          <w:lang w:val="en-GB"/>
        </w:rPr>
      </w:pPr>
      <w:r w:rsidRPr="00C243CD">
        <w:rPr>
          <w:rFonts w:ascii="Cambria" w:hAnsi="Cambria"/>
          <w:lang w:val="en-GB"/>
        </w:rPr>
        <w:t>c01</w:t>
      </w:r>
      <w:r w:rsidR="003E7184" w:rsidRPr="00C243CD">
        <w:rPr>
          <w:rFonts w:ascii="Cambria" w:hAnsi="Cambria"/>
          <w:lang w:val="en-GB"/>
        </w:rPr>
        <w:t>1</w:t>
      </w:r>
      <w:r w:rsidR="002B5DBA" w:rsidRPr="00C243CD">
        <w:rPr>
          <w:rFonts w:ascii="Cambria" w:hAnsi="Cambria"/>
          <w:lang w:val="en-GB"/>
        </w:rPr>
        <w:t>0 - Net Amount of Collateral Posted</w:t>
      </w:r>
    </w:p>
    <w:p w14:paraId="4AAC8597" w14:textId="77777777" w:rsidR="002B5DBA" w:rsidRPr="00C243CD" w:rsidRDefault="002B5DBA" w:rsidP="009474F1">
      <w:pPr>
        <w:rPr>
          <w:rFonts w:ascii="Cambria" w:hAnsi="Cambria"/>
          <w:lang w:val="en-GB"/>
        </w:rPr>
      </w:pPr>
      <w:r w:rsidRPr="00C243CD">
        <w:rPr>
          <w:rFonts w:ascii="Cambria" w:hAnsi="Cambria"/>
          <w:lang w:val="en-GB"/>
        </w:rPr>
        <w:t>Per netting set, please provide the net value of collateral posted to cover the secured financing transactions</w:t>
      </w:r>
      <w:r w:rsidR="00A32783" w:rsidRPr="00C243CD">
        <w:rPr>
          <w:rFonts w:ascii="Cambria" w:hAnsi="Cambria"/>
          <w:lang w:val="en-GB"/>
        </w:rPr>
        <w:t>, taking into account all collateral positions considered in the netting arrangement</w:t>
      </w:r>
      <w:r w:rsidRPr="00C243CD">
        <w:rPr>
          <w:rFonts w:ascii="Cambria" w:hAnsi="Cambria"/>
          <w:lang w:val="en-GB"/>
        </w:rPr>
        <w:t>.</w:t>
      </w:r>
      <w:r w:rsidR="00B55E3C" w:rsidRPr="00C243CD">
        <w:rPr>
          <w:rFonts w:ascii="Cambria" w:hAnsi="Cambria"/>
          <w:lang w:val="en-GB"/>
        </w:rPr>
        <w:t xml:space="preserve"> This includes any amount of collateral or margin that is exchanged.</w:t>
      </w:r>
    </w:p>
    <w:p w14:paraId="578DDA74" w14:textId="77777777" w:rsidR="00A05BB4" w:rsidRPr="00C243CD" w:rsidRDefault="00A05BB4">
      <w:pPr>
        <w:spacing w:after="160" w:line="259" w:lineRule="auto"/>
        <w:jc w:val="left"/>
        <w:rPr>
          <w:rFonts w:ascii="Cambria" w:hAnsi="Cambria"/>
          <w:lang w:val="en-GB"/>
        </w:rPr>
      </w:pPr>
      <w:r w:rsidRPr="00C243CD">
        <w:rPr>
          <w:rFonts w:ascii="Cambria" w:hAnsi="Cambria"/>
          <w:lang w:val="en-GB"/>
        </w:rPr>
        <w:br w:type="page"/>
      </w:r>
    </w:p>
    <w:p w14:paraId="780283DB" w14:textId="77777777" w:rsidR="00A05BB4" w:rsidRPr="00C243CD" w:rsidRDefault="00A05BB4" w:rsidP="009474F1">
      <w:pPr>
        <w:rPr>
          <w:rFonts w:ascii="Cambria" w:hAnsi="Cambria"/>
          <w:lang w:val="en-GB"/>
        </w:rPr>
        <w:sectPr w:rsidR="00A05BB4" w:rsidRPr="00C243CD" w:rsidSect="00AC044E">
          <w:pgSz w:w="11906" w:h="16838"/>
          <w:pgMar w:top="2552" w:right="1440" w:bottom="1440" w:left="1440" w:header="708" w:footer="708" w:gutter="0"/>
          <w:cols w:space="708"/>
          <w:titlePg/>
          <w:docGrid w:linePitch="360"/>
        </w:sectPr>
      </w:pPr>
    </w:p>
    <w:p w14:paraId="13896218" w14:textId="77777777" w:rsidR="002D6809" w:rsidRPr="00C243CD" w:rsidRDefault="00A05BB4" w:rsidP="009474F1">
      <w:pPr>
        <w:rPr>
          <w:rFonts w:ascii="Cambria" w:hAnsi="Cambria"/>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48" behindDoc="0" locked="0" layoutInCell="1" allowOverlap="1" wp14:anchorId="632A8E8F" wp14:editId="72ABE8A6">
                <wp:simplePos x="0" y="0"/>
                <wp:positionH relativeFrom="page">
                  <wp:align>center</wp:align>
                </wp:positionH>
                <wp:positionV relativeFrom="paragraph">
                  <wp:posOffset>584421</wp:posOffset>
                </wp:positionV>
                <wp:extent cx="9764202" cy="5959475"/>
                <wp:effectExtent l="0" t="0" r="27940" b="15875"/>
                <wp:wrapNone/>
                <wp:docPr id="29" name="Text Box 29"/>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C4A40" w14:textId="77777777" w:rsidR="002D45CF" w:rsidRPr="00991041" w:rsidRDefault="002D45CF" w:rsidP="00A05BB4">
                            <w:pPr>
                              <w:rPr>
                                <w:b/>
                                <w:lang w:val="en-GB"/>
                              </w:rPr>
                            </w:pPr>
                            <w:r>
                              <w:rPr>
                                <w:b/>
                                <w:lang w:val="en-GB"/>
                              </w:rPr>
                              <w:t>Simplified e</w:t>
                            </w:r>
                            <w:r w:rsidRPr="00991041">
                              <w:rPr>
                                <w:b/>
                                <w:lang w:val="en-GB"/>
                              </w:rPr>
                              <w:t>xample</w:t>
                            </w:r>
                          </w:p>
                          <w:p w14:paraId="243978EE" w14:textId="77777777" w:rsidR="002D45CF" w:rsidRPr="00991041" w:rsidRDefault="002D45CF" w:rsidP="00A05BB4">
                            <w:pPr>
                              <w:rPr>
                                <w:lang w:val="en-GB"/>
                              </w:rPr>
                            </w:pPr>
                          </w:p>
                          <w:p w14:paraId="4BE109B8" w14:textId="77777777" w:rsidR="002D45CF" w:rsidRPr="00247671" w:rsidRDefault="002D45CF" w:rsidP="00A05BB4">
                            <w:pPr>
                              <w:rPr>
                                <w:lang w:val="en-GB"/>
                              </w:rPr>
                            </w:pPr>
                            <w:r>
                              <w:rPr>
                                <w:lang w:val="en-GB"/>
                              </w:rPr>
                              <w:t>An institution has entered into a bilateral repurchase agreement with a French counterparty</w:t>
                            </w:r>
                            <w:r w:rsidRPr="00247671">
                              <w:rPr>
                                <w:lang w:val="en-GB"/>
                              </w:rPr>
                              <w:t>.</w:t>
                            </w:r>
                            <w:r>
                              <w:rPr>
                                <w:lang w:val="en-GB"/>
                              </w:rPr>
                              <w:t xml:space="preserve"> The institution has provided collateral for a market value of EUR 225 million at the reporting date, while receiving a cash payment of EUR 250 million at inception. The contract has been established under French law and is not subject to any master agreements for netting purposes. The insolvency ranking of the contract under the law of the country where the reporting institution is incorporated is equal to 10.</w:t>
                            </w:r>
                          </w:p>
                          <w:p w14:paraId="133EA7B8" w14:textId="77777777" w:rsidR="002D45CF" w:rsidRPr="00991041" w:rsidRDefault="002D45CF" w:rsidP="00A05BB4">
                            <w:pPr>
                              <w:rPr>
                                <w:sz w:val="16"/>
                                <w:lang w:val="en-GB"/>
                              </w:rPr>
                            </w:pPr>
                          </w:p>
                          <w:p w14:paraId="72D694AF" w14:textId="242471B9" w:rsidR="002D45CF" w:rsidRDefault="00A87EDB" w:rsidP="00A05BB4">
                            <w:pPr>
                              <w:rPr>
                                <w:lang w:val="en-GB"/>
                              </w:rPr>
                            </w:pPr>
                            <w:r w:rsidRPr="00A87EDB">
                              <w:rPr>
                                <w:lang w:val="en-GB"/>
                              </w:rPr>
                              <w:drawing>
                                <wp:inline distT="0" distB="0" distL="0" distR="0" wp14:anchorId="252B8E37" wp14:editId="044E92AD">
                                  <wp:extent cx="9574530" cy="1572895"/>
                                  <wp:effectExtent l="0" t="0" r="762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2"/>
                                          <a:stretch>
                                            <a:fillRect/>
                                          </a:stretch>
                                        </pic:blipFill>
                                        <pic:spPr>
                                          <a:xfrm>
                                            <a:off x="0" y="0"/>
                                            <a:ext cx="9574530" cy="1572895"/>
                                          </a:xfrm>
                                          <a:prstGeom prst="rect">
                                            <a:avLst/>
                                          </a:prstGeom>
                                        </pic:spPr>
                                      </pic:pic>
                                    </a:graphicData>
                                  </a:graphic>
                                </wp:inline>
                              </w:drawing>
                            </w:r>
                          </w:p>
                          <w:p w14:paraId="2D12E3DA" w14:textId="77777777" w:rsidR="002D45CF" w:rsidRPr="00991041" w:rsidRDefault="002D45CF" w:rsidP="00A05BB4">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2A8E8F" id="Text Box 29" o:spid="_x0000_s1036" type="#_x0000_t202" style="position:absolute;left:0;text-align:left;margin-left:0;margin-top:46pt;width:768.85pt;height:469.25pt;z-index:2516582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" fillcolor="white [3201]" strokeweight=".5pt">
                <v:textbox style="mso-fit-shape-to-text:t">
                  <w:txbxContent>
                    <w:p w14:paraId="7D7C4A40" w14:textId="77777777" w:rsidR="002D45CF" w:rsidRPr="00991041" w:rsidRDefault="002D45CF" w:rsidP="00A05BB4">
                      <w:pPr>
                        <w:rPr>
                          <w:b/>
                          <w:lang w:val="en-GB"/>
                        </w:rPr>
                      </w:pPr>
                      <w:r>
                        <w:rPr>
                          <w:b/>
                          <w:lang w:val="en-GB"/>
                        </w:rPr>
                        <w:t>Simplified e</w:t>
                      </w:r>
                      <w:r w:rsidRPr="00991041">
                        <w:rPr>
                          <w:b/>
                          <w:lang w:val="en-GB"/>
                        </w:rPr>
                        <w:t>xample</w:t>
                      </w:r>
                    </w:p>
                    <w:p w14:paraId="243978EE" w14:textId="77777777" w:rsidR="002D45CF" w:rsidRPr="00991041" w:rsidRDefault="002D45CF" w:rsidP="00A05BB4">
                      <w:pPr>
                        <w:rPr>
                          <w:lang w:val="en-GB"/>
                        </w:rPr>
                      </w:pPr>
                    </w:p>
                    <w:p w14:paraId="4BE109B8" w14:textId="77777777" w:rsidR="002D45CF" w:rsidRPr="00247671" w:rsidRDefault="002D45CF" w:rsidP="00A05BB4">
                      <w:pPr>
                        <w:rPr>
                          <w:lang w:val="en-GB"/>
                        </w:rPr>
                      </w:pPr>
                      <w:r>
                        <w:rPr>
                          <w:lang w:val="en-GB"/>
                        </w:rPr>
                        <w:t>An institution has entered into a bilateral repurchase agreement with a French counterparty</w:t>
                      </w:r>
                      <w:r w:rsidRPr="00247671">
                        <w:rPr>
                          <w:lang w:val="en-GB"/>
                        </w:rPr>
                        <w:t>.</w:t>
                      </w:r>
                      <w:r>
                        <w:rPr>
                          <w:lang w:val="en-GB"/>
                        </w:rPr>
                        <w:t xml:space="preserve"> The institution has provided collateral for a market value of EUR 225 million at the reporting date, while receiving a cash payment of EUR 250 million at inception. The contract has been established under French law and is not subject to any master agreements for netting purposes. The insolvency ranking of the contract under the law of the country where the reporting institution is incorporated is equal to 10.</w:t>
                      </w:r>
                    </w:p>
                    <w:p w14:paraId="133EA7B8" w14:textId="77777777" w:rsidR="002D45CF" w:rsidRPr="00991041" w:rsidRDefault="002D45CF" w:rsidP="00A05BB4">
                      <w:pPr>
                        <w:rPr>
                          <w:sz w:val="16"/>
                          <w:lang w:val="en-GB"/>
                        </w:rPr>
                      </w:pPr>
                    </w:p>
                    <w:p w14:paraId="72D694AF" w14:textId="242471B9" w:rsidR="002D45CF" w:rsidRDefault="00A87EDB" w:rsidP="00A05BB4">
                      <w:pPr>
                        <w:rPr>
                          <w:lang w:val="en-GB"/>
                        </w:rPr>
                      </w:pPr>
                      <w:r w:rsidRPr="00A87EDB">
                        <w:rPr>
                          <w:lang w:val="en-GB"/>
                        </w:rPr>
                        <w:drawing>
                          <wp:inline distT="0" distB="0" distL="0" distR="0" wp14:anchorId="252B8E37" wp14:editId="044E92AD">
                            <wp:extent cx="9574530" cy="1572895"/>
                            <wp:effectExtent l="0" t="0" r="762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2"/>
                                    <a:stretch>
                                      <a:fillRect/>
                                    </a:stretch>
                                  </pic:blipFill>
                                  <pic:spPr>
                                    <a:xfrm>
                                      <a:off x="0" y="0"/>
                                      <a:ext cx="9574530" cy="1572895"/>
                                    </a:xfrm>
                                    <a:prstGeom prst="rect">
                                      <a:avLst/>
                                    </a:prstGeom>
                                  </pic:spPr>
                                </pic:pic>
                              </a:graphicData>
                            </a:graphic>
                          </wp:inline>
                        </w:drawing>
                      </w:r>
                    </w:p>
                    <w:p w14:paraId="2D12E3DA" w14:textId="77777777" w:rsidR="002D45CF" w:rsidRPr="00991041" w:rsidRDefault="002D45CF" w:rsidP="00A05BB4">
                      <w:pPr>
                        <w:rPr>
                          <w:lang w:val="en-GB"/>
                        </w:rPr>
                      </w:pPr>
                    </w:p>
                  </w:txbxContent>
                </v:textbox>
                <w10:wrap anchorx="page"/>
              </v:shape>
            </w:pict>
          </mc:Fallback>
        </mc:AlternateContent>
      </w:r>
      <w:r w:rsidR="002D6809" w:rsidRPr="00C243CD">
        <w:rPr>
          <w:rFonts w:ascii="Cambria" w:hAnsi="Cambria"/>
          <w:lang w:val="en-GB"/>
        </w:rPr>
        <w:br w:type="page"/>
      </w:r>
    </w:p>
    <w:p w14:paraId="1884FE2D" w14:textId="77777777" w:rsidR="00A05BB4" w:rsidRPr="00C243CD" w:rsidRDefault="00A05BB4" w:rsidP="009474F1">
      <w:pPr>
        <w:pStyle w:val="Heading1"/>
        <w:rPr>
          <w:rFonts w:ascii="Cambria" w:hAnsi="Cambria"/>
          <w:lang w:val="en-GB"/>
        </w:rPr>
        <w:sectPr w:rsidR="00A05BB4" w:rsidRPr="00C243CD" w:rsidSect="00991041">
          <w:pgSz w:w="16838" w:h="11906" w:orient="landscape"/>
          <w:pgMar w:top="1440" w:right="2552" w:bottom="1440" w:left="1440" w:header="709" w:footer="709" w:gutter="0"/>
          <w:cols w:space="708"/>
          <w:titlePg/>
          <w:docGrid w:linePitch="360"/>
        </w:sectPr>
      </w:pPr>
      <w:bookmarkStart w:id="223" w:name="_Toc462295145"/>
      <w:bookmarkStart w:id="224" w:name="_Toc446348082"/>
    </w:p>
    <w:p w14:paraId="6149E49A" w14:textId="31D32A36" w:rsidR="00EA0B77" w:rsidRPr="00C243CD" w:rsidRDefault="00EA0B77" w:rsidP="00EA0B77">
      <w:pPr>
        <w:pStyle w:val="Heading3"/>
        <w:numPr>
          <w:ilvl w:val="0"/>
          <w:numId w:val="22"/>
        </w:numPr>
        <w:ind w:left="0" w:firstLine="0"/>
        <w:rPr>
          <w:rFonts w:ascii="Cambria" w:hAnsi="Cambria"/>
          <w:lang w:val="en-GB"/>
        </w:rPr>
      </w:pPr>
      <w:bookmarkStart w:id="225" w:name="_Toc12973032"/>
      <w:bookmarkStart w:id="226" w:name="_Toc13755762"/>
      <w:r w:rsidRPr="00C243CD">
        <w:rPr>
          <w:rFonts w:ascii="Cambria" w:hAnsi="Cambria"/>
          <w:lang w:val="en-GB"/>
        </w:rPr>
        <w:lastRenderedPageBreak/>
        <w:t>T0</w:t>
      </w:r>
      <w:r>
        <w:rPr>
          <w:rFonts w:ascii="Cambria" w:hAnsi="Cambria"/>
          <w:lang w:val="en-GB"/>
        </w:rPr>
        <w:t>9</w:t>
      </w:r>
      <w:r w:rsidRPr="00C243CD">
        <w:rPr>
          <w:rFonts w:ascii="Cambria" w:hAnsi="Cambria"/>
          <w:lang w:val="en-GB"/>
        </w:rPr>
        <w:t xml:space="preserve">.00 - </w:t>
      </w:r>
      <w:r w:rsidRPr="00EA0B77">
        <w:rPr>
          <w:rFonts w:ascii="Cambria" w:hAnsi="Cambria"/>
          <w:lang w:val="en-GB"/>
        </w:rPr>
        <w:t xml:space="preserve">Other Non-Financial </w:t>
      </w:r>
      <w:r>
        <w:rPr>
          <w:rFonts w:ascii="Cambria" w:hAnsi="Cambria"/>
          <w:lang w:val="en-GB"/>
        </w:rPr>
        <w:t xml:space="preserve">Liabilities </w:t>
      </w:r>
      <w:r w:rsidRPr="00EA0B77">
        <w:rPr>
          <w:rFonts w:ascii="Cambria" w:hAnsi="Cambria"/>
          <w:lang w:val="en-GB"/>
        </w:rPr>
        <w:t>(not included in other tabs, excluding intragroup)</w:t>
      </w:r>
      <w:bookmarkEnd w:id="225"/>
      <w:bookmarkEnd w:id="226"/>
      <w:r>
        <w:rPr>
          <w:rFonts w:ascii="Cambria" w:hAnsi="Cambria"/>
          <w:lang w:val="en-GB"/>
        </w:rPr>
        <w:t xml:space="preserve"> </w:t>
      </w:r>
    </w:p>
    <w:p w14:paraId="10EBF0E6" w14:textId="7A56F922" w:rsidR="00FD7424" w:rsidRPr="00C243CD" w:rsidRDefault="00FD7424" w:rsidP="00FD7424">
      <w:pPr>
        <w:rPr>
          <w:rFonts w:ascii="Cambria" w:hAnsi="Cambria"/>
          <w:lang w:val="en-GB"/>
        </w:rPr>
      </w:pPr>
      <w:r>
        <w:rPr>
          <w:rFonts w:ascii="Cambria" w:hAnsi="Cambria"/>
          <w:lang w:val="en-GB"/>
        </w:rPr>
        <w:t xml:space="preserve">This table covers non financial </w:t>
      </w:r>
      <w:r w:rsidRPr="00C243CD">
        <w:rPr>
          <w:rFonts w:ascii="Cambria" w:hAnsi="Cambria"/>
          <w:lang w:val="en-GB"/>
        </w:rPr>
        <w:t>liabilities</w:t>
      </w:r>
      <w:r>
        <w:rPr>
          <w:rFonts w:ascii="Cambria" w:hAnsi="Cambria"/>
          <w:lang w:val="en-GB"/>
        </w:rPr>
        <w:t xml:space="preserve"> such as provisions, </w:t>
      </w:r>
      <w:r w:rsidRPr="00C243CD">
        <w:rPr>
          <w:rFonts w:ascii="Cambria" w:hAnsi="Cambria"/>
          <w:lang w:val="en-GB"/>
        </w:rPr>
        <w:t>tax liabilities</w:t>
      </w:r>
      <w:r>
        <w:rPr>
          <w:rFonts w:ascii="Cambria" w:hAnsi="Cambria"/>
          <w:lang w:val="en-GB"/>
        </w:rPr>
        <w:t xml:space="preserve"> and deferred income</w:t>
      </w:r>
      <w:r w:rsidRPr="00C243CD">
        <w:rPr>
          <w:rFonts w:ascii="Cambria" w:hAnsi="Cambria"/>
          <w:lang w:val="en-GB"/>
        </w:rPr>
        <w:t>.</w:t>
      </w:r>
    </w:p>
    <w:p w14:paraId="46855975" w14:textId="4A0628C6" w:rsidR="00FD7424" w:rsidRPr="00C243CD" w:rsidRDefault="00FD7424" w:rsidP="00FD7424">
      <w:pPr>
        <w:rPr>
          <w:rFonts w:ascii="Cambria" w:hAnsi="Cambria"/>
          <w:lang w:val="en-GB"/>
        </w:rPr>
      </w:pPr>
      <w:r>
        <w:rPr>
          <w:rFonts w:ascii="Cambria" w:hAnsi="Cambria"/>
          <w:lang w:val="en-GB"/>
        </w:rPr>
        <w:t>These liabilities</w:t>
      </w:r>
      <w:r w:rsidRPr="00C243CD">
        <w:rPr>
          <w:rFonts w:ascii="Cambria" w:hAnsi="Cambria"/>
          <w:lang w:val="en-GB"/>
        </w:rPr>
        <w:t xml:space="preserve"> should be grouped by type and insolvency ranking.</w:t>
      </w:r>
    </w:p>
    <w:p w14:paraId="4EAC0D55" w14:textId="77777777" w:rsidR="00FD7424" w:rsidRPr="00C243CD" w:rsidRDefault="00FD7424" w:rsidP="00FD7424">
      <w:pPr>
        <w:pStyle w:val="Heading4"/>
        <w:rPr>
          <w:rFonts w:ascii="Cambria" w:hAnsi="Cambria"/>
          <w:lang w:val="en-GB"/>
        </w:rPr>
      </w:pPr>
      <w:r w:rsidRPr="00C243CD">
        <w:rPr>
          <w:rFonts w:ascii="Cambria" w:hAnsi="Cambria"/>
          <w:lang w:val="en-GB"/>
        </w:rPr>
        <w:t>c0010 - N°</w:t>
      </w:r>
    </w:p>
    <w:p w14:paraId="18D79374" w14:textId="6C8394C9" w:rsidR="00A87EDB" w:rsidRPr="00C243CD" w:rsidRDefault="00FD7424" w:rsidP="00FD7424">
      <w:pPr>
        <w:rPr>
          <w:rFonts w:ascii="Cambria" w:hAnsi="Cambria"/>
          <w:lang w:val="en-GB"/>
        </w:rPr>
      </w:pPr>
      <w:r w:rsidRPr="00C243CD">
        <w:rPr>
          <w:rFonts w:ascii="Cambria" w:hAnsi="Cambria"/>
          <w:lang w:val="en-GB"/>
        </w:rPr>
        <w:t>Unique number/primary key to identify the line items.</w:t>
      </w:r>
    </w:p>
    <w:p w14:paraId="3E920A11" w14:textId="77777777" w:rsidR="00FD7424" w:rsidRPr="00C243CD" w:rsidRDefault="00FD7424" w:rsidP="00FD7424">
      <w:pPr>
        <w:pStyle w:val="Heading4"/>
        <w:rPr>
          <w:rFonts w:ascii="Cambria" w:hAnsi="Cambria"/>
          <w:lang w:val="en-GB"/>
        </w:rPr>
      </w:pPr>
      <w:r w:rsidRPr="00C243CD">
        <w:rPr>
          <w:rFonts w:ascii="Cambria" w:hAnsi="Cambria"/>
          <w:lang w:val="en-GB"/>
        </w:rPr>
        <w:t>c00</w:t>
      </w:r>
      <w:r>
        <w:rPr>
          <w:rFonts w:ascii="Cambria" w:hAnsi="Cambria"/>
          <w:lang w:val="en-GB"/>
        </w:rPr>
        <w:t>2</w:t>
      </w:r>
      <w:r w:rsidRPr="00C243CD">
        <w:rPr>
          <w:rFonts w:ascii="Cambria" w:hAnsi="Cambria"/>
          <w:lang w:val="en-GB"/>
        </w:rPr>
        <w:t>0 - Line</w:t>
      </w:r>
    </w:p>
    <w:p w14:paraId="039900FA" w14:textId="77777777" w:rsidR="00FD7424" w:rsidRPr="00C243CD" w:rsidRDefault="00FD7424" w:rsidP="00FD7424">
      <w:pPr>
        <w:rPr>
          <w:rFonts w:ascii="Cambria" w:hAnsi="Cambria"/>
          <w:lang w:val="en-GB"/>
        </w:rPr>
      </w:pPr>
      <w:r w:rsidRPr="00C243CD">
        <w:rPr>
          <w:rFonts w:ascii="Cambria" w:hAnsi="Cambria"/>
          <w:lang w:val="en-GB"/>
        </w:rPr>
        <w:t>For each instrument, a reconciliation with the categories of liabilities of the liability structure in T01.00 has to be provided at the level of maturity from a predefined list of values.</w:t>
      </w:r>
    </w:p>
    <w:p w14:paraId="1FC71F49" w14:textId="77777777" w:rsidR="00FD7424" w:rsidRPr="00C243CD" w:rsidRDefault="00FD7424" w:rsidP="00FD7424">
      <w:pPr>
        <w:pStyle w:val="Heading4"/>
        <w:rPr>
          <w:rFonts w:ascii="Cambria" w:hAnsi="Cambria"/>
          <w:lang w:val="en-GB"/>
        </w:rPr>
      </w:pPr>
      <w:r w:rsidRPr="00C243CD">
        <w:rPr>
          <w:rFonts w:ascii="Cambria" w:hAnsi="Cambria"/>
          <w:lang w:val="en-GB"/>
        </w:rPr>
        <w:t>c0030 - Column</w:t>
      </w:r>
    </w:p>
    <w:p w14:paraId="3507EA4B" w14:textId="77777777" w:rsidR="00FD7424" w:rsidRPr="00C243CD" w:rsidRDefault="00FD7424" w:rsidP="00FD7424">
      <w:pPr>
        <w:rPr>
          <w:rFonts w:ascii="Cambria" w:hAnsi="Cambria"/>
          <w:lang w:val="en-GB"/>
        </w:rPr>
      </w:pPr>
      <w:r w:rsidRPr="00C243CD">
        <w:rPr>
          <w:rFonts w:ascii="Cambria" w:hAnsi="Cambria"/>
          <w:lang w:val="en-GB"/>
        </w:rPr>
        <w:t>For each instrument, a reconciliation with the counterparty class in T01.00 to which the liability is owed has to be provided from predefined list of values.</w:t>
      </w:r>
    </w:p>
    <w:p w14:paraId="0BB4109F" w14:textId="5713DB8D" w:rsidR="00FD7424" w:rsidRPr="00C243CD" w:rsidRDefault="00FD7424" w:rsidP="00FD7424">
      <w:pPr>
        <w:pStyle w:val="Heading4"/>
        <w:rPr>
          <w:rFonts w:ascii="Cambria" w:hAnsi="Cambria"/>
          <w:lang w:val="en-GB"/>
        </w:rPr>
      </w:pPr>
      <w:r w:rsidRPr="00C243CD">
        <w:rPr>
          <w:rFonts w:ascii="Cambria" w:hAnsi="Cambria"/>
          <w:lang w:val="en-GB"/>
        </w:rPr>
        <w:t>c0040 - Insolvency Ranking</w:t>
      </w:r>
      <w:r>
        <w:rPr>
          <w:rFonts w:ascii="Cambria" w:hAnsi="Cambria"/>
          <w:lang w:val="en-GB"/>
        </w:rPr>
        <w:t xml:space="preserve"> </w:t>
      </w:r>
    </w:p>
    <w:p w14:paraId="15EE6148" w14:textId="77777777" w:rsidR="00FD7424" w:rsidRPr="00C243CD" w:rsidRDefault="00FD7424" w:rsidP="00FD7424">
      <w:pPr>
        <w:rPr>
          <w:rFonts w:ascii="Cambria" w:hAnsi="Cambria"/>
          <w:lang w:val="en-GB"/>
        </w:rPr>
      </w:pPr>
      <w:r w:rsidRPr="00C243CD">
        <w:rPr>
          <w:rFonts w:ascii="Cambria" w:hAnsi="Cambria"/>
          <w:lang w:val="en-GB"/>
        </w:rPr>
        <w:t>Identified ranking in line with Part 1, Section 6 of the guidance.</w:t>
      </w:r>
    </w:p>
    <w:p w14:paraId="7516BF80" w14:textId="77777777" w:rsidR="00FD7424" w:rsidRPr="00C243CD" w:rsidRDefault="00FD7424" w:rsidP="00FD7424">
      <w:pPr>
        <w:pStyle w:val="Heading4"/>
        <w:rPr>
          <w:rFonts w:ascii="Cambria" w:hAnsi="Cambria"/>
          <w:lang w:val="en-GB"/>
        </w:rPr>
      </w:pPr>
      <w:r w:rsidRPr="00C243CD">
        <w:rPr>
          <w:rFonts w:ascii="Cambria" w:hAnsi="Cambria"/>
          <w:lang w:val="en-GB"/>
        </w:rPr>
        <w:t xml:space="preserve">c0050 </w:t>
      </w:r>
      <w:r>
        <w:rPr>
          <w:rFonts w:ascii="Cambria" w:hAnsi="Cambria"/>
          <w:lang w:val="en-GB"/>
        </w:rPr>
        <w:t>–</w:t>
      </w:r>
      <w:r w:rsidRPr="00C243CD">
        <w:rPr>
          <w:rFonts w:ascii="Cambria" w:hAnsi="Cambria"/>
          <w:lang w:val="en-GB"/>
        </w:rPr>
        <w:t xml:space="preserve"> </w:t>
      </w:r>
      <w:r>
        <w:rPr>
          <w:rFonts w:ascii="Cambria" w:hAnsi="Cambria"/>
          <w:lang w:val="en-GB"/>
        </w:rPr>
        <w:t>Contract</w:t>
      </w:r>
      <w:r w:rsidRPr="00C243CD">
        <w:rPr>
          <w:rFonts w:ascii="Cambria" w:hAnsi="Cambria"/>
          <w:lang w:val="en-GB"/>
        </w:rPr>
        <w:t xml:space="preserve"> identifier</w:t>
      </w:r>
    </w:p>
    <w:p w14:paraId="04BD821F" w14:textId="77777777" w:rsidR="00FD7424" w:rsidRPr="00C243CD" w:rsidRDefault="00FD7424" w:rsidP="00FD7424">
      <w:pPr>
        <w:rPr>
          <w:rFonts w:ascii="Cambria" w:hAnsi="Cambria"/>
          <w:lang w:val="en-GB"/>
        </w:rPr>
      </w:pPr>
      <w:r w:rsidRPr="00C243CD">
        <w:rPr>
          <w:rFonts w:ascii="Cambria" w:hAnsi="Cambria"/>
          <w:lang w:val="en-GB"/>
        </w:rPr>
        <w:t>Internal identifier of the contract, as equivalent to the ISIN for securities.</w:t>
      </w:r>
    </w:p>
    <w:p w14:paraId="4F56F3FB" w14:textId="77777777" w:rsidR="00FD7424" w:rsidRPr="00C243CD" w:rsidRDefault="00FD7424" w:rsidP="00FD7424">
      <w:pPr>
        <w:pStyle w:val="Heading4"/>
        <w:rPr>
          <w:rFonts w:ascii="Cambria" w:hAnsi="Cambria"/>
          <w:lang w:val="en-GB"/>
        </w:rPr>
      </w:pPr>
      <w:r w:rsidRPr="00C243CD">
        <w:rPr>
          <w:rFonts w:ascii="Cambria" w:hAnsi="Cambria"/>
          <w:lang w:val="en-GB"/>
        </w:rPr>
        <w:t>c0060 - Lending Entity/Counterpart (ID)</w:t>
      </w:r>
    </w:p>
    <w:p w14:paraId="55DAC1D8" w14:textId="77777777" w:rsidR="00FD7424" w:rsidRPr="00C243CD" w:rsidRDefault="00FD7424" w:rsidP="00FD7424">
      <w:pPr>
        <w:pStyle w:val="Heading4"/>
        <w:rPr>
          <w:rFonts w:ascii="Cambria" w:hAnsi="Cambria"/>
          <w:i w:val="0"/>
          <w:color w:val="auto"/>
          <w:lang w:val="en-GB"/>
        </w:rPr>
      </w:pPr>
      <w:r w:rsidRPr="00C243CD">
        <w:rPr>
          <w:rFonts w:ascii="Cambria" w:hAnsi="Cambria"/>
          <w:i w:val="0"/>
          <w:color w:val="auto"/>
          <w:lang w:val="en-GB"/>
        </w:rPr>
        <w:t>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t>
      </w:r>
    </w:p>
    <w:p w14:paraId="444B5742" w14:textId="77777777" w:rsidR="00FD7424" w:rsidRDefault="00FD7424" w:rsidP="00FD7424">
      <w:pPr>
        <w:rPr>
          <w:rFonts w:ascii="Cambria" w:eastAsiaTheme="majorEastAsia" w:hAnsi="Cambria" w:cstheme="majorBidi"/>
          <w:i/>
          <w:iCs/>
          <w:color w:val="2E74B5" w:themeColor="accent1" w:themeShade="BF"/>
          <w:lang w:val="en-GB"/>
        </w:rPr>
      </w:pPr>
      <w:r>
        <w:rPr>
          <w:rFonts w:ascii="Cambria" w:eastAsiaTheme="majorEastAsia" w:hAnsi="Cambria" w:cstheme="majorBidi"/>
          <w:i/>
          <w:iCs/>
          <w:color w:val="2E74B5" w:themeColor="accent1" w:themeShade="BF"/>
          <w:lang w:val="en-GB"/>
        </w:rPr>
        <w:t>c</w:t>
      </w:r>
      <w:r w:rsidRPr="00047E4D">
        <w:rPr>
          <w:rFonts w:ascii="Cambria" w:eastAsiaTheme="majorEastAsia" w:hAnsi="Cambria" w:cstheme="majorBidi"/>
          <w:i/>
          <w:iCs/>
          <w:color w:val="2E74B5" w:themeColor="accent1" w:themeShade="BF"/>
          <w:lang w:val="en-GB"/>
        </w:rPr>
        <w:t>00</w:t>
      </w:r>
      <w:r>
        <w:rPr>
          <w:rFonts w:ascii="Cambria" w:eastAsiaTheme="majorEastAsia" w:hAnsi="Cambria" w:cstheme="majorBidi"/>
          <w:i/>
          <w:iCs/>
          <w:color w:val="2E74B5" w:themeColor="accent1" w:themeShade="BF"/>
          <w:lang w:val="en-GB"/>
        </w:rPr>
        <w:t>65</w:t>
      </w:r>
      <w:r w:rsidRPr="00047E4D">
        <w:rPr>
          <w:rFonts w:ascii="Cambria" w:eastAsiaTheme="majorEastAsia" w:hAnsi="Cambria" w:cstheme="majorBidi"/>
          <w:i/>
          <w:iCs/>
          <w:color w:val="2E74B5" w:themeColor="accent1" w:themeShade="BF"/>
          <w:lang w:val="en-GB"/>
        </w:rPr>
        <w:t xml:space="preserve"> –Type of Identifier</w:t>
      </w:r>
    </w:p>
    <w:p w14:paraId="195F4603" w14:textId="77777777" w:rsidR="00FD7424" w:rsidRPr="003D6B3C" w:rsidRDefault="00FD7424" w:rsidP="00FD7424">
      <w:pPr>
        <w:rPr>
          <w:rFonts w:ascii="Cambria" w:hAnsi="Cambria"/>
          <w:lang w:val="en-GB"/>
        </w:rPr>
      </w:pPr>
      <w:r>
        <w:rPr>
          <w:rFonts w:ascii="Cambria" w:hAnsi="Cambria"/>
          <w:lang w:val="en-GB"/>
        </w:rPr>
        <w:t>To be chosen among the following options</w:t>
      </w:r>
      <w:r w:rsidRPr="003D6B3C">
        <w:rPr>
          <w:rFonts w:ascii="Cambria" w:hAnsi="Cambria"/>
          <w:lang w:val="en-GB"/>
        </w:rPr>
        <w:t>: “LEI code”, “MFI code” or “Type of identifier, other than LEI or MFI code”.</w:t>
      </w:r>
    </w:p>
    <w:p w14:paraId="770D9C0E" w14:textId="2FDA8AD0" w:rsidR="00FD7424" w:rsidRPr="00C243CD" w:rsidRDefault="00FD7424" w:rsidP="00FD7424">
      <w:pPr>
        <w:pStyle w:val="Heading4"/>
        <w:rPr>
          <w:rFonts w:ascii="Cambria" w:hAnsi="Cambria"/>
          <w:lang w:val="en-GB"/>
        </w:rPr>
      </w:pPr>
      <w:r w:rsidRPr="00C243CD">
        <w:rPr>
          <w:rFonts w:ascii="Cambria" w:hAnsi="Cambria"/>
          <w:lang w:val="en-GB"/>
        </w:rPr>
        <w:t xml:space="preserve"> c0070 - Governing Law</w:t>
      </w:r>
      <w:r>
        <w:rPr>
          <w:rFonts w:ascii="Cambria" w:hAnsi="Cambria"/>
          <w:lang w:val="en-GB"/>
        </w:rPr>
        <w:t xml:space="preserve"> </w:t>
      </w:r>
    </w:p>
    <w:p w14:paraId="6028C36A" w14:textId="77777777" w:rsidR="00FD7424" w:rsidRDefault="00FD7424" w:rsidP="00FD7424">
      <w:pPr>
        <w:rPr>
          <w:rFonts w:ascii="Cambria" w:hAnsi="Cambria"/>
          <w:lang w:val="en-GB"/>
        </w:rPr>
      </w:pPr>
      <w:r w:rsidRPr="00C243CD">
        <w:rPr>
          <w:rFonts w:ascii="Cambria" w:hAnsi="Cambria"/>
          <w:lang w:val="en-GB"/>
        </w:rPr>
        <w:t xml:space="preserve">The </w:t>
      </w:r>
      <w:r>
        <w:rPr>
          <w:rFonts w:ascii="Cambria" w:hAnsi="Cambria"/>
          <w:lang w:val="en-GB"/>
        </w:rPr>
        <w:t>name</w:t>
      </w:r>
      <w:r w:rsidRPr="00C243CD">
        <w:rPr>
          <w:rFonts w:ascii="Cambria" w:hAnsi="Cambria"/>
          <w:lang w:val="en-GB"/>
        </w:rPr>
        <w:t xml:space="preserve"> of the country whose law governs the instrument.</w:t>
      </w:r>
    </w:p>
    <w:p w14:paraId="16DD9CF1" w14:textId="359387FF" w:rsidR="00FD7424" w:rsidRDefault="00FD7424" w:rsidP="00FD7424">
      <w:pPr>
        <w:rPr>
          <w:rFonts w:ascii="Cambria" w:hAnsi="Cambria"/>
          <w:lang w:val="en-GB"/>
        </w:rPr>
      </w:pPr>
      <w:r>
        <w:rPr>
          <w:rFonts w:ascii="Cambria" w:hAnsi="Cambria"/>
          <w:lang w:val="en-GB"/>
        </w:rPr>
        <w:t xml:space="preserve"> </w:t>
      </w:r>
      <w:r>
        <w:rPr>
          <w:rFonts w:ascii="Cambria" w:eastAsiaTheme="majorEastAsia" w:hAnsi="Cambria" w:cstheme="majorBidi"/>
          <w:i/>
          <w:iCs/>
          <w:color w:val="2E74B5" w:themeColor="accent1" w:themeShade="BF"/>
          <w:lang w:val="en-GB"/>
        </w:rPr>
        <w:t>c</w:t>
      </w:r>
      <w:r w:rsidRPr="00E616B6">
        <w:rPr>
          <w:rFonts w:ascii="Cambria" w:eastAsiaTheme="majorEastAsia" w:hAnsi="Cambria" w:cstheme="majorBidi"/>
          <w:i/>
          <w:iCs/>
          <w:color w:val="2E74B5" w:themeColor="accent1" w:themeShade="BF"/>
          <w:lang w:val="en-GB"/>
        </w:rPr>
        <w:t>00</w:t>
      </w:r>
      <w:r w:rsidR="001B4610">
        <w:rPr>
          <w:rFonts w:ascii="Cambria" w:eastAsiaTheme="majorEastAsia" w:hAnsi="Cambria" w:cstheme="majorBidi"/>
          <w:i/>
          <w:iCs/>
          <w:color w:val="2E74B5" w:themeColor="accent1" w:themeShade="BF"/>
          <w:lang w:val="en-GB"/>
        </w:rPr>
        <w:t>80</w:t>
      </w:r>
      <w:r w:rsidRPr="00E616B6">
        <w:rPr>
          <w:rFonts w:ascii="Cambria" w:eastAsiaTheme="majorEastAsia" w:hAnsi="Cambria" w:cstheme="majorBidi"/>
          <w:i/>
          <w:iCs/>
          <w:color w:val="2E74B5" w:themeColor="accent1" w:themeShade="BF"/>
          <w:lang w:val="en-GB"/>
        </w:rPr>
        <w:t xml:space="preserve"> – Type of </w:t>
      </w:r>
      <w:r w:rsidR="001B4610">
        <w:rPr>
          <w:rFonts w:ascii="Cambria" w:eastAsiaTheme="majorEastAsia" w:hAnsi="Cambria" w:cstheme="majorBidi"/>
          <w:i/>
          <w:iCs/>
          <w:color w:val="2E74B5" w:themeColor="accent1" w:themeShade="BF"/>
          <w:lang w:val="en-GB"/>
        </w:rPr>
        <w:t xml:space="preserve">Non </w:t>
      </w:r>
      <w:r w:rsidRPr="00E616B6">
        <w:rPr>
          <w:rFonts w:ascii="Cambria" w:eastAsiaTheme="majorEastAsia" w:hAnsi="Cambria" w:cstheme="majorBidi"/>
          <w:i/>
          <w:iCs/>
          <w:color w:val="2E74B5" w:themeColor="accent1" w:themeShade="BF"/>
          <w:lang w:val="en-GB"/>
        </w:rPr>
        <w:t>Financial Liabilities</w:t>
      </w:r>
    </w:p>
    <w:p w14:paraId="50A3A17C" w14:textId="77777777" w:rsidR="001B4610" w:rsidRDefault="00FD7424" w:rsidP="00FD7424">
      <w:pPr>
        <w:rPr>
          <w:rFonts w:ascii="Cambria" w:hAnsi="Cambria"/>
          <w:lang w:val="en-GB"/>
        </w:rPr>
      </w:pPr>
      <w:r>
        <w:rPr>
          <w:rFonts w:ascii="Cambria" w:hAnsi="Cambria"/>
          <w:lang w:val="en-GB"/>
        </w:rPr>
        <w:t>To be chosen among the following options</w:t>
      </w:r>
      <w:r w:rsidR="001B4610">
        <w:rPr>
          <w:rFonts w:ascii="Cambria" w:hAnsi="Cambria"/>
          <w:lang w:val="en-GB"/>
        </w:rPr>
        <w:t>:</w:t>
      </w:r>
    </w:p>
    <w:p w14:paraId="6E036F4E" w14:textId="2018125E" w:rsidR="001B4610" w:rsidRPr="001B4610" w:rsidRDefault="001B4610" w:rsidP="001B4610">
      <w:pPr>
        <w:ind w:firstLine="708"/>
        <w:rPr>
          <w:rFonts w:ascii="Cambria" w:hAnsi="Cambria"/>
          <w:lang w:val="en-GB"/>
        </w:rPr>
      </w:pPr>
      <w:r w:rsidRPr="001B4610">
        <w:rPr>
          <w:rFonts w:ascii="Cambria" w:hAnsi="Cambria"/>
          <w:lang w:val="en-GB"/>
        </w:rPr>
        <w:t>Provision for Funds for general banking risks [if presented within liabilities]</w:t>
      </w:r>
    </w:p>
    <w:p w14:paraId="14D1FFB9" w14:textId="77777777" w:rsidR="001B4610" w:rsidRPr="001B4610" w:rsidRDefault="001B4610" w:rsidP="001B4610">
      <w:pPr>
        <w:ind w:firstLine="708"/>
        <w:rPr>
          <w:rFonts w:ascii="Cambria" w:hAnsi="Cambria"/>
          <w:lang w:val="en-GB"/>
        </w:rPr>
      </w:pPr>
      <w:r w:rsidRPr="001B4610">
        <w:rPr>
          <w:rFonts w:ascii="Cambria" w:hAnsi="Cambria"/>
          <w:lang w:val="en-GB"/>
        </w:rPr>
        <w:t>Provision for Pension and other post employment defined benefit obligations</w:t>
      </w:r>
    </w:p>
    <w:p w14:paraId="574C147A" w14:textId="77777777" w:rsidR="001B4610" w:rsidRPr="001B4610" w:rsidRDefault="001B4610" w:rsidP="001B4610">
      <w:pPr>
        <w:ind w:firstLine="708"/>
        <w:rPr>
          <w:rFonts w:ascii="Cambria" w:hAnsi="Cambria"/>
          <w:lang w:val="en-GB"/>
        </w:rPr>
      </w:pPr>
      <w:r w:rsidRPr="001B4610">
        <w:rPr>
          <w:rFonts w:ascii="Cambria" w:hAnsi="Cambria"/>
          <w:lang w:val="en-GB"/>
        </w:rPr>
        <w:t>Provision for Other long term employee benefits</w:t>
      </w:r>
    </w:p>
    <w:p w14:paraId="1CBA75F9" w14:textId="77777777" w:rsidR="001B4610" w:rsidRPr="001B4610" w:rsidRDefault="001B4610" w:rsidP="001B4610">
      <w:pPr>
        <w:ind w:firstLine="708"/>
        <w:rPr>
          <w:rFonts w:ascii="Cambria" w:hAnsi="Cambria"/>
          <w:lang w:val="en-GB"/>
        </w:rPr>
      </w:pPr>
      <w:r w:rsidRPr="001B4610">
        <w:rPr>
          <w:rFonts w:ascii="Cambria" w:hAnsi="Cambria"/>
          <w:lang w:val="en-GB"/>
        </w:rPr>
        <w:t>Provision for Restructuring</w:t>
      </w:r>
    </w:p>
    <w:p w14:paraId="384C8948" w14:textId="77777777" w:rsidR="001B4610" w:rsidRPr="001B4610" w:rsidRDefault="001B4610" w:rsidP="001B4610">
      <w:pPr>
        <w:ind w:firstLine="708"/>
        <w:rPr>
          <w:rFonts w:ascii="Cambria" w:hAnsi="Cambria"/>
          <w:lang w:val="en-GB"/>
        </w:rPr>
      </w:pPr>
      <w:r w:rsidRPr="001B4610">
        <w:rPr>
          <w:rFonts w:ascii="Cambria" w:hAnsi="Cambria"/>
          <w:lang w:val="en-GB"/>
        </w:rPr>
        <w:t>Provision for Pending legal issues and tax litigation</w:t>
      </w:r>
    </w:p>
    <w:p w14:paraId="6B3B4EFE" w14:textId="77777777" w:rsidR="001B4610" w:rsidRPr="001B4610" w:rsidRDefault="001B4610" w:rsidP="001B4610">
      <w:pPr>
        <w:ind w:firstLine="708"/>
        <w:rPr>
          <w:rFonts w:ascii="Cambria" w:hAnsi="Cambria"/>
          <w:lang w:val="en-GB"/>
        </w:rPr>
      </w:pPr>
      <w:r w:rsidRPr="001B4610">
        <w:rPr>
          <w:rFonts w:ascii="Cambria" w:hAnsi="Cambria"/>
          <w:lang w:val="en-GB"/>
        </w:rPr>
        <w:t>Provision for Commitments and guarantees given</w:t>
      </w:r>
    </w:p>
    <w:p w14:paraId="5D525D2F" w14:textId="77777777" w:rsidR="001B4610" w:rsidRPr="001B4610" w:rsidRDefault="001B4610" w:rsidP="001B4610">
      <w:pPr>
        <w:ind w:firstLine="708"/>
        <w:rPr>
          <w:rFonts w:ascii="Cambria" w:hAnsi="Cambria"/>
          <w:lang w:val="en-GB"/>
        </w:rPr>
      </w:pPr>
      <w:r w:rsidRPr="001B4610">
        <w:rPr>
          <w:rFonts w:ascii="Cambria" w:hAnsi="Cambria"/>
          <w:lang w:val="en-GB"/>
        </w:rPr>
        <w:t>Other provisions</w:t>
      </w:r>
    </w:p>
    <w:p w14:paraId="3BCDB81B" w14:textId="77777777" w:rsidR="001B4610" w:rsidRPr="001B4610" w:rsidRDefault="001B4610" w:rsidP="001B4610">
      <w:pPr>
        <w:ind w:firstLine="708"/>
        <w:rPr>
          <w:rFonts w:ascii="Cambria" w:hAnsi="Cambria"/>
          <w:lang w:val="en-GB"/>
        </w:rPr>
      </w:pPr>
      <w:r w:rsidRPr="001B4610">
        <w:rPr>
          <w:rFonts w:ascii="Cambria" w:hAnsi="Cambria"/>
          <w:lang w:val="en-GB"/>
        </w:rPr>
        <w:t>Tax liabilities</w:t>
      </w:r>
    </w:p>
    <w:p w14:paraId="5E1CAA17" w14:textId="77777777" w:rsidR="001B4610" w:rsidRPr="001B4610" w:rsidRDefault="001B4610" w:rsidP="001B4610">
      <w:pPr>
        <w:ind w:firstLine="708"/>
        <w:rPr>
          <w:rFonts w:ascii="Cambria" w:hAnsi="Cambria"/>
          <w:lang w:val="en-GB"/>
        </w:rPr>
      </w:pPr>
      <w:r w:rsidRPr="001B4610">
        <w:rPr>
          <w:rFonts w:ascii="Cambria" w:hAnsi="Cambria"/>
          <w:lang w:val="en-GB"/>
        </w:rPr>
        <w:t>Deferred income</w:t>
      </w:r>
    </w:p>
    <w:p w14:paraId="4EDA7E73" w14:textId="0CB61CBC" w:rsidR="00FD7424" w:rsidRPr="00C243CD" w:rsidRDefault="001B4610" w:rsidP="001B4610">
      <w:pPr>
        <w:ind w:firstLine="708"/>
        <w:rPr>
          <w:rFonts w:ascii="Cambria" w:hAnsi="Cambria"/>
          <w:lang w:val="en-GB"/>
        </w:rPr>
      </w:pPr>
      <w:r w:rsidRPr="001B4610">
        <w:rPr>
          <w:rFonts w:ascii="Cambria" w:hAnsi="Cambria"/>
          <w:lang w:val="en-GB"/>
        </w:rPr>
        <w:t>Other</w:t>
      </w:r>
    </w:p>
    <w:p w14:paraId="2F31E4C2" w14:textId="77777777" w:rsidR="00FD7424" w:rsidRPr="00C243CD" w:rsidRDefault="00FD7424" w:rsidP="00FD7424">
      <w:pPr>
        <w:pStyle w:val="Heading4"/>
        <w:rPr>
          <w:rFonts w:ascii="Cambria" w:hAnsi="Cambria"/>
          <w:lang w:val="en-GB"/>
        </w:rPr>
      </w:pPr>
      <w:r w:rsidRPr="00C243CD">
        <w:rPr>
          <w:rFonts w:ascii="Cambria" w:hAnsi="Cambria"/>
          <w:lang w:val="en-GB"/>
        </w:rPr>
        <w:lastRenderedPageBreak/>
        <w:t>c0080 - If Third Country Law or UK law</w:t>
      </w:r>
      <w:r w:rsidRPr="00C243CD">
        <w:rPr>
          <w:rStyle w:val="FootnoteReference"/>
          <w:rFonts w:ascii="Cambria" w:hAnsi="Cambria"/>
          <w:lang w:val="en-GB"/>
        </w:rPr>
        <w:footnoteReference w:id="18"/>
      </w:r>
      <w:r w:rsidRPr="00C243CD">
        <w:rPr>
          <w:rFonts w:ascii="Cambria" w:hAnsi="Cambria"/>
          <w:lang w:val="en-GB"/>
        </w:rPr>
        <w:t>, Contractual Recognitio</w:t>
      </w:r>
      <w:r>
        <w:rPr>
          <w:rFonts w:ascii="Cambria" w:hAnsi="Cambria"/>
          <w:lang w:val="en-GB"/>
        </w:rPr>
        <w:t>n</w:t>
      </w:r>
    </w:p>
    <w:p w14:paraId="2821BE4B" w14:textId="77777777" w:rsidR="00FD7424" w:rsidRPr="00C243CD" w:rsidRDefault="00FD7424" w:rsidP="00FD7424">
      <w:pPr>
        <w:rPr>
          <w:rFonts w:ascii="Cambria" w:hAnsi="Cambria"/>
          <w:lang w:val="en-GB"/>
        </w:rPr>
      </w:pPr>
      <w:r w:rsidRPr="00C243CD">
        <w:rPr>
          <w:rFonts w:ascii="Cambria" w:hAnsi="Cambria"/>
          <w:lang w:val="en-GB"/>
        </w:rPr>
        <w:t>Identification of contractual provisions for the recognition of bail-in powers in line with article 55 of the BRRD, either ‘Yes</w:t>
      </w:r>
      <w:r w:rsidRPr="00563F37">
        <w:rPr>
          <w:rFonts w:ascii="Cambria" w:hAnsi="Cambria"/>
          <w:lang w:val="en-GB"/>
        </w:rPr>
        <w:t xml:space="preserve"> (Contractual recognition of bail-in powers)</w:t>
      </w:r>
      <w:r w:rsidRPr="00C243CD">
        <w:rPr>
          <w:rFonts w:ascii="Cambria" w:hAnsi="Cambria"/>
          <w:lang w:val="en-GB"/>
        </w:rPr>
        <w:t>’, ‘No</w:t>
      </w:r>
      <w:r w:rsidRPr="00563F37">
        <w:rPr>
          <w:rFonts w:ascii="Cambria" w:hAnsi="Cambria"/>
          <w:lang w:val="en-GB"/>
        </w:rPr>
        <w:t xml:space="preserve"> (Contractual recognition of bail-in powers)</w:t>
      </w:r>
      <w:r w:rsidRPr="00C243CD">
        <w:rPr>
          <w:rFonts w:ascii="Cambria" w:hAnsi="Cambria"/>
          <w:lang w:val="en-GB"/>
        </w:rPr>
        <w:t>’ or ‘Not Applicable</w:t>
      </w:r>
      <w:r w:rsidRPr="00563F37">
        <w:rPr>
          <w:rFonts w:ascii="Cambria" w:hAnsi="Cambria"/>
          <w:lang w:val="en-GB"/>
        </w:rPr>
        <w:t xml:space="preserve"> (Contractual recognition of bail-in powers)</w:t>
      </w:r>
      <w:r w:rsidRPr="00C243CD">
        <w:rPr>
          <w:rFonts w:ascii="Cambria" w:hAnsi="Cambria"/>
          <w:lang w:val="en-GB"/>
        </w:rPr>
        <w:t>’ from a predefined list.</w:t>
      </w:r>
    </w:p>
    <w:p w14:paraId="318E1897" w14:textId="6E0C1830" w:rsidR="00FD7424" w:rsidRPr="00C243CD" w:rsidRDefault="001B4610" w:rsidP="00FD7424">
      <w:pPr>
        <w:pStyle w:val="Heading4"/>
        <w:rPr>
          <w:rFonts w:ascii="Cambria" w:hAnsi="Cambria"/>
          <w:lang w:val="en-GB"/>
        </w:rPr>
      </w:pPr>
      <w:r>
        <w:rPr>
          <w:rFonts w:ascii="Cambria" w:hAnsi="Cambria"/>
          <w:lang w:val="en-GB"/>
        </w:rPr>
        <w:t>c009</w:t>
      </w:r>
      <w:r w:rsidR="00FD7424" w:rsidRPr="00C243CD">
        <w:rPr>
          <w:rFonts w:ascii="Cambria" w:hAnsi="Cambria"/>
          <w:lang w:val="en-GB"/>
        </w:rPr>
        <w:t>0 - Outstanding Amount</w:t>
      </w:r>
      <w:r w:rsidR="00FD7424">
        <w:rPr>
          <w:rFonts w:ascii="Cambria" w:hAnsi="Cambria"/>
          <w:lang w:val="en-GB"/>
        </w:rPr>
        <w:t xml:space="preserve"> </w:t>
      </w:r>
    </w:p>
    <w:p w14:paraId="33522E6D" w14:textId="6AFB8072" w:rsidR="00FD7424" w:rsidRPr="00C243CD" w:rsidRDefault="00FD7424" w:rsidP="00FD7424">
      <w:pPr>
        <w:rPr>
          <w:rFonts w:ascii="Cambria" w:hAnsi="Cambria"/>
          <w:lang w:val="en-GB"/>
        </w:rPr>
      </w:pPr>
      <w:r w:rsidRPr="00C243CD">
        <w:rPr>
          <w:rFonts w:ascii="Cambria" w:hAnsi="Cambria"/>
          <w:lang w:val="en-GB"/>
        </w:rPr>
        <w:t>The EUR (counter) value of the outstanding amount of the instrument.</w:t>
      </w:r>
    </w:p>
    <w:p w14:paraId="45E6B647" w14:textId="6108E657" w:rsidR="00FD7424" w:rsidRPr="00C243CD" w:rsidRDefault="00FD7424" w:rsidP="00FD7424">
      <w:pPr>
        <w:pStyle w:val="Heading4"/>
        <w:rPr>
          <w:rFonts w:ascii="Cambria" w:hAnsi="Cambria"/>
          <w:lang w:val="en-GB"/>
        </w:rPr>
      </w:pPr>
      <w:r w:rsidRPr="00C243CD">
        <w:rPr>
          <w:rFonts w:ascii="Cambria" w:hAnsi="Cambria"/>
          <w:lang w:val="en-GB"/>
        </w:rPr>
        <w:t>c01</w:t>
      </w:r>
      <w:r w:rsidR="001B4610">
        <w:rPr>
          <w:rFonts w:ascii="Cambria" w:hAnsi="Cambria"/>
          <w:lang w:val="en-GB"/>
        </w:rPr>
        <w:t>00</w:t>
      </w:r>
      <w:r w:rsidRPr="00C243CD">
        <w:rPr>
          <w:rFonts w:ascii="Cambria" w:hAnsi="Cambria"/>
          <w:lang w:val="en-GB"/>
        </w:rPr>
        <w:t xml:space="preserve"> </w:t>
      </w:r>
      <w:r>
        <w:rPr>
          <w:rFonts w:ascii="Cambria" w:hAnsi="Cambria"/>
          <w:lang w:val="en-GB"/>
        </w:rPr>
        <w:t>–</w:t>
      </w:r>
      <w:r w:rsidRPr="00C243CD">
        <w:rPr>
          <w:rFonts w:ascii="Cambria" w:hAnsi="Cambria"/>
          <w:lang w:val="en-GB"/>
        </w:rPr>
        <w:t xml:space="preserve"> Currency</w:t>
      </w:r>
      <w:r>
        <w:rPr>
          <w:rFonts w:ascii="Cambria" w:hAnsi="Cambria"/>
          <w:lang w:val="en-GB"/>
        </w:rPr>
        <w:t xml:space="preserve"> </w:t>
      </w:r>
    </w:p>
    <w:p w14:paraId="3EEB92A4" w14:textId="77777777" w:rsidR="00FD7424" w:rsidRPr="00C243CD" w:rsidRDefault="00FD7424" w:rsidP="00FD7424">
      <w:pPr>
        <w:rPr>
          <w:rFonts w:ascii="Cambria" w:hAnsi="Cambria"/>
          <w:lang w:val="en-GB"/>
        </w:rPr>
      </w:pPr>
      <w:r w:rsidRPr="00C243CD">
        <w:rPr>
          <w:rFonts w:ascii="Cambria" w:hAnsi="Cambria"/>
          <w:lang w:val="en-GB"/>
        </w:rPr>
        <w:t>The currency in which the instrument is issued.</w:t>
      </w:r>
    </w:p>
    <w:p w14:paraId="6E65770A" w14:textId="68DBCF24" w:rsidR="00FD7424" w:rsidRPr="00C243CD" w:rsidRDefault="001B4610" w:rsidP="00FD7424">
      <w:pPr>
        <w:pStyle w:val="Heading4"/>
        <w:rPr>
          <w:rFonts w:ascii="Cambria" w:hAnsi="Cambria"/>
          <w:lang w:val="en-GB"/>
        </w:rPr>
      </w:pPr>
      <w:r>
        <w:rPr>
          <w:rFonts w:ascii="Cambria" w:hAnsi="Cambria"/>
          <w:lang w:val="en-GB"/>
        </w:rPr>
        <w:t>c011</w:t>
      </w:r>
      <w:r w:rsidR="00FD7424" w:rsidRPr="00C243CD">
        <w:rPr>
          <w:rFonts w:ascii="Cambria" w:hAnsi="Cambria"/>
          <w:lang w:val="en-GB"/>
        </w:rPr>
        <w:t xml:space="preserve">0 </w:t>
      </w:r>
      <w:r>
        <w:rPr>
          <w:rFonts w:ascii="Cambria" w:hAnsi="Cambria"/>
          <w:lang w:val="en-GB"/>
        </w:rPr>
        <w:t>–</w:t>
      </w:r>
      <w:r w:rsidR="00FD7424" w:rsidRPr="00C243CD">
        <w:rPr>
          <w:rFonts w:ascii="Cambria" w:hAnsi="Cambria"/>
          <w:lang w:val="en-GB"/>
        </w:rPr>
        <w:t xml:space="preserve"> Date</w:t>
      </w:r>
      <w:r>
        <w:rPr>
          <w:rFonts w:ascii="Cambria" w:hAnsi="Cambria"/>
          <w:lang w:val="en-GB"/>
        </w:rPr>
        <w:t xml:space="preserve"> of Recognition</w:t>
      </w:r>
    </w:p>
    <w:p w14:paraId="4594B631" w14:textId="76B16044" w:rsidR="00FD7424" w:rsidRPr="00C243CD" w:rsidRDefault="00C04BCB" w:rsidP="00FD7424">
      <w:pPr>
        <w:rPr>
          <w:rFonts w:ascii="Cambria" w:hAnsi="Cambria"/>
          <w:lang w:val="en-GB"/>
        </w:rPr>
      </w:pPr>
      <w:commentRangeStart w:id="227"/>
      <w:r w:rsidRPr="00C04BCB">
        <w:rPr>
          <w:rFonts w:ascii="Cambria" w:hAnsi="Cambria"/>
          <w:lang w:val="en-GB"/>
        </w:rPr>
        <w:t>Date at which the instrument was recognised in the financial accounts, as per the applicable accounting standards.</w:t>
      </w:r>
      <w:commentRangeEnd w:id="227"/>
      <w:r w:rsidR="004A1962">
        <w:rPr>
          <w:rStyle w:val="CommentReference"/>
          <w:rFonts w:ascii="Cambria" w:eastAsia="MS Mincho" w:hAnsi="Cambria" w:cs="Times New Roman"/>
          <w:lang w:val="en-US"/>
        </w:rPr>
        <w:commentReference w:id="227"/>
      </w:r>
    </w:p>
    <w:p w14:paraId="64057F42" w14:textId="2D799004" w:rsidR="00C04BCB" w:rsidRPr="00C243CD" w:rsidRDefault="00C04BCB" w:rsidP="00C04BCB">
      <w:pPr>
        <w:pStyle w:val="Heading4"/>
        <w:rPr>
          <w:rFonts w:ascii="Cambria" w:hAnsi="Cambria"/>
          <w:lang w:val="en-GB"/>
        </w:rPr>
      </w:pPr>
      <w:r w:rsidRPr="00C243CD">
        <w:rPr>
          <w:rFonts w:ascii="Cambria" w:hAnsi="Cambria"/>
          <w:lang w:val="en-GB"/>
        </w:rPr>
        <w:t>c01</w:t>
      </w:r>
      <w:r>
        <w:rPr>
          <w:rFonts w:ascii="Cambria" w:hAnsi="Cambria"/>
          <w:lang w:val="en-GB"/>
        </w:rPr>
        <w:t>2</w:t>
      </w:r>
      <w:r w:rsidRPr="00C243CD">
        <w:rPr>
          <w:rFonts w:ascii="Cambria" w:hAnsi="Cambria"/>
          <w:lang w:val="en-GB"/>
        </w:rPr>
        <w:t xml:space="preserve">0 </w:t>
      </w:r>
      <w:r>
        <w:rPr>
          <w:rFonts w:ascii="Cambria" w:hAnsi="Cambria"/>
          <w:lang w:val="en-GB"/>
        </w:rPr>
        <w:t>–</w:t>
      </w:r>
      <w:r w:rsidRPr="00C243CD">
        <w:rPr>
          <w:rFonts w:ascii="Cambria" w:hAnsi="Cambria"/>
          <w:lang w:val="en-GB"/>
        </w:rPr>
        <w:t xml:space="preserve"> </w:t>
      </w:r>
      <w:r>
        <w:rPr>
          <w:rFonts w:ascii="Cambria" w:hAnsi="Cambria"/>
          <w:lang w:val="en-GB"/>
        </w:rPr>
        <w:t xml:space="preserve">Date of </w:t>
      </w:r>
      <w:r w:rsidRPr="00C243CD">
        <w:rPr>
          <w:rFonts w:ascii="Cambria" w:hAnsi="Cambria"/>
          <w:lang w:val="en-GB"/>
        </w:rPr>
        <w:t>Maturity</w:t>
      </w:r>
    </w:p>
    <w:p w14:paraId="0A4086B3" w14:textId="2044C8AC" w:rsidR="00C04BCB" w:rsidRDefault="00C04BCB" w:rsidP="00C04BCB">
      <w:pPr>
        <w:rPr>
          <w:rFonts w:ascii="Cambria" w:hAnsi="Cambria"/>
          <w:lang w:val="en-GB"/>
        </w:rPr>
      </w:pPr>
      <w:r w:rsidRPr="00C243CD">
        <w:rPr>
          <w:rFonts w:ascii="Cambria" w:hAnsi="Cambria"/>
          <w:lang w:val="en-GB"/>
        </w:rPr>
        <w:t>Date of the legal, final maturity of the instrument. For perpetual instruments, this should be ‘2099-01-31’.</w:t>
      </w:r>
    </w:p>
    <w:p w14:paraId="37E68019" w14:textId="4D63D71E" w:rsidR="001B4610" w:rsidRPr="00C243CD" w:rsidRDefault="001B4610" w:rsidP="001B4610">
      <w:pPr>
        <w:pStyle w:val="Heading4"/>
        <w:rPr>
          <w:rFonts w:ascii="Cambria" w:hAnsi="Cambria"/>
          <w:lang w:val="en-GB"/>
        </w:rPr>
      </w:pPr>
      <w:r w:rsidRPr="00C243CD">
        <w:rPr>
          <w:rFonts w:ascii="Cambria" w:hAnsi="Cambria"/>
          <w:lang w:val="en-GB"/>
        </w:rPr>
        <w:t>c</w:t>
      </w:r>
      <w:r>
        <w:rPr>
          <w:rFonts w:ascii="Cambria" w:hAnsi="Cambria"/>
          <w:lang w:val="en-GB"/>
        </w:rPr>
        <w:t>013</w:t>
      </w:r>
      <w:r w:rsidRPr="00C243CD">
        <w:rPr>
          <w:rFonts w:ascii="Cambria" w:hAnsi="Cambria"/>
          <w:lang w:val="en-GB"/>
        </w:rPr>
        <w:t>0 - Qualifying as Own Funds</w:t>
      </w:r>
    </w:p>
    <w:p w14:paraId="20CD1421" w14:textId="77777777" w:rsidR="001B4610" w:rsidRDefault="001B4610" w:rsidP="001B4610">
      <w:pPr>
        <w:rPr>
          <w:rFonts w:ascii="Cambria" w:hAnsi="Cambria"/>
          <w:lang w:val="en-GB"/>
        </w:rPr>
      </w:pPr>
      <w:r w:rsidRPr="00C243CD">
        <w:rPr>
          <w:rFonts w:ascii="Cambria" w:hAnsi="Cambria"/>
          <w:lang w:val="en-GB"/>
        </w:rPr>
        <w:t>Please indicate if and at which level the instrument is included in the own funds, alongside information on the phase-out regime and grandfathering arrangements. Value can be ‘No’, ‘Partially (A)T1 and T2’, ‘T2 in phase-out’, ‘Grandfathered T2’, ‘Fully Compliant T2’, ‘Grandfathered AT1’, ‘Fully Compliant AT1’ or ‘CET1’ from a predefined list.</w:t>
      </w:r>
      <w:r>
        <w:rPr>
          <w:rFonts w:ascii="Cambria" w:hAnsi="Cambria"/>
          <w:lang w:val="en-GB"/>
        </w:rPr>
        <w:t xml:space="preserve"> </w:t>
      </w:r>
    </w:p>
    <w:p w14:paraId="7689EFAE" w14:textId="77777777" w:rsidR="001B4610" w:rsidRPr="00C243CD" w:rsidRDefault="001B4610" w:rsidP="001B4610">
      <w:pPr>
        <w:rPr>
          <w:rFonts w:ascii="Cambria" w:hAnsi="Cambria"/>
          <w:lang w:val="en-GB"/>
        </w:rPr>
      </w:pPr>
      <w:r>
        <w:rPr>
          <w:rFonts w:ascii="Cambria" w:hAnsi="Cambria"/>
          <w:lang w:val="en-GB"/>
        </w:rPr>
        <w:t>In the list of options t</w:t>
      </w:r>
      <w:r w:rsidRPr="00910B58">
        <w:rPr>
          <w:rFonts w:ascii="Cambria" w:hAnsi="Cambria"/>
          <w:lang w:val="en-GB"/>
        </w:rPr>
        <w:t>he term 'phase-out' refers to the period of 5 years before maturity of any given T2 instrument, during which there is only a proportionate recognition based on the time remaining until maturity. 'Grandfathered' should be understood as any transitional measure applicable to a T2 instrument, not including the 'phase-out'. During this 'grandfathering', recognition can be full or partial.</w:t>
      </w:r>
    </w:p>
    <w:p w14:paraId="24BCE12C" w14:textId="4F14D191" w:rsidR="001B4610" w:rsidRPr="00C243CD" w:rsidRDefault="001B4610" w:rsidP="001B4610">
      <w:pPr>
        <w:pStyle w:val="Heading4"/>
        <w:rPr>
          <w:rFonts w:ascii="Cambria" w:hAnsi="Cambria"/>
          <w:lang w:val="en-GB"/>
        </w:rPr>
      </w:pPr>
      <w:r>
        <w:rPr>
          <w:rFonts w:ascii="Cambria" w:hAnsi="Cambria"/>
          <w:lang w:val="en-GB"/>
        </w:rPr>
        <w:t>c0</w:t>
      </w:r>
      <w:r w:rsidR="00C04BCB">
        <w:rPr>
          <w:rFonts w:ascii="Cambria" w:hAnsi="Cambria"/>
          <w:lang w:val="en-GB"/>
        </w:rPr>
        <w:t>14</w:t>
      </w:r>
      <w:r w:rsidRPr="00C243CD">
        <w:rPr>
          <w:rFonts w:ascii="Cambria" w:hAnsi="Cambria"/>
          <w:lang w:val="en-GB"/>
        </w:rPr>
        <w:t>0 - Amount Included in Own Funds, taking into account phase-out as applicable</w:t>
      </w:r>
    </w:p>
    <w:p w14:paraId="30803054" w14:textId="2FFABEE8" w:rsidR="00FD7424" w:rsidRPr="00C243CD" w:rsidRDefault="001B4610" w:rsidP="00FD7424">
      <w:pPr>
        <w:rPr>
          <w:rFonts w:ascii="Cambria" w:hAnsi="Cambria"/>
          <w:lang w:val="en-GB"/>
        </w:rPr>
      </w:pPr>
      <w:r w:rsidRPr="00C243CD">
        <w:rPr>
          <w:rFonts w:ascii="Cambria" w:hAnsi="Cambria"/>
          <w:lang w:val="en-GB"/>
        </w:rPr>
        <w:t>The actual amount in EUR of the instrument qualifying as own funds.</w:t>
      </w:r>
    </w:p>
    <w:p w14:paraId="1328D14F" w14:textId="77777777" w:rsidR="00240191" w:rsidRDefault="00EA0B77" w:rsidP="00EA0B77">
      <w:pPr>
        <w:spacing w:after="160" w:line="259" w:lineRule="auto"/>
        <w:jc w:val="left"/>
        <w:rPr>
          <w:rFonts w:ascii="Cambria" w:hAnsi="Cambria"/>
          <w:lang w:val="en-GB"/>
        </w:rPr>
        <w:sectPr w:rsidR="00240191" w:rsidSect="00AC044E">
          <w:pgSz w:w="11906" w:h="16838"/>
          <w:pgMar w:top="2552" w:right="1440" w:bottom="1440" w:left="1440" w:header="708" w:footer="708" w:gutter="0"/>
          <w:cols w:space="708"/>
          <w:titlePg/>
          <w:docGrid w:linePitch="360"/>
        </w:sectPr>
      </w:pPr>
      <w:r w:rsidRPr="00C243CD">
        <w:rPr>
          <w:rFonts w:ascii="Cambria" w:hAnsi="Cambria"/>
          <w:lang w:val="en-GB"/>
        </w:rPr>
        <w:br w:type="page"/>
      </w:r>
    </w:p>
    <w:p w14:paraId="72DC2EB1" w14:textId="3D70C209" w:rsidR="00240191" w:rsidRDefault="00240191" w:rsidP="00EA0B77">
      <w:pPr>
        <w:spacing w:after="160" w:line="259" w:lineRule="auto"/>
        <w:jc w:val="left"/>
        <w:rPr>
          <w:rFonts w:ascii="Cambria" w:hAnsi="Cambria"/>
          <w:lang w:val="en-GB"/>
        </w:rPr>
      </w:pPr>
    </w:p>
    <w:p w14:paraId="29D0BAAC" w14:textId="4C71AB7A" w:rsidR="00240191" w:rsidRDefault="00240191" w:rsidP="00EA0B77">
      <w:pPr>
        <w:spacing w:after="160" w:line="259" w:lineRule="auto"/>
        <w:jc w:val="left"/>
        <w:rPr>
          <w:rFonts w:ascii="Cambria" w:hAnsi="Cambria"/>
          <w:lang w:val="en-GB"/>
        </w:rPr>
      </w:pPr>
    </w:p>
    <w:p w14:paraId="3FCC57A3" w14:textId="4082F202" w:rsidR="00240191" w:rsidRDefault="00240191" w:rsidP="00EA0B77">
      <w:pPr>
        <w:spacing w:after="160" w:line="259" w:lineRule="auto"/>
        <w:jc w:val="left"/>
        <w:rPr>
          <w:rFonts w:ascii="Cambria" w:hAnsi="Cambria"/>
          <w:lang w:val="en-GB"/>
        </w:rPr>
      </w:pPr>
      <w:r w:rsidRPr="00C243CD">
        <w:rPr>
          <w:rFonts w:ascii="Cambria" w:hAnsi="Cambria"/>
          <w:noProof/>
          <w:lang w:val="en-GB" w:eastAsia="en-GB"/>
        </w:rPr>
        <mc:AlternateContent>
          <mc:Choice Requires="wps">
            <w:drawing>
              <wp:anchor distT="0" distB="0" distL="114300" distR="114300" simplePos="0" relativeHeight="251662350" behindDoc="0" locked="0" layoutInCell="1" allowOverlap="1" wp14:anchorId="7A8AFD3B" wp14:editId="4121BDB7">
                <wp:simplePos x="0" y="0"/>
                <wp:positionH relativeFrom="page">
                  <wp:posOffset>914400</wp:posOffset>
                </wp:positionH>
                <wp:positionV relativeFrom="paragraph">
                  <wp:posOffset>0</wp:posOffset>
                </wp:positionV>
                <wp:extent cx="9764202" cy="5959475"/>
                <wp:effectExtent l="0" t="0" r="27940" b="15875"/>
                <wp:wrapNone/>
                <wp:docPr id="91" name="Text Box 91"/>
                <wp:cNvGraphicFramePr/>
                <a:graphic xmlns:a="http://schemas.openxmlformats.org/drawingml/2006/main">
                  <a:graphicData uri="http://schemas.microsoft.com/office/word/2010/wordprocessingShape">
                    <wps:wsp>
                      <wps:cNvSpPr txBox="1"/>
                      <wps:spPr>
                        <a:xfrm>
                          <a:off x="0" y="0"/>
                          <a:ext cx="9764202" cy="595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B2449" w14:textId="77777777" w:rsidR="00240191" w:rsidRPr="00991041" w:rsidRDefault="00240191" w:rsidP="00240191">
                            <w:pPr>
                              <w:rPr>
                                <w:b/>
                                <w:lang w:val="en-GB"/>
                              </w:rPr>
                            </w:pPr>
                            <w:r>
                              <w:rPr>
                                <w:b/>
                                <w:lang w:val="en-GB"/>
                              </w:rPr>
                              <w:t>Simplified e</w:t>
                            </w:r>
                            <w:r w:rsidRPr="00991041">
                              <w:rPr>
                                <w:b/>
                                <w:lang w:val="en-GB"/>
                              </w:rPr>
                              <w:t>xample</w:t>
                            </w:r>
                          </w:p>
                          <w:p w14:paraId="5DBBAA6F" w14:textId="77777777" w:rsidR="00240191" w:rsidRPr="00991041" w:rsidRDefault="00240191" w:rsidP="00240191">
                            <w:pPr>
                              <w:rPr>
                                <w:lang w:val="en-GB"/>
                              </w:rPr>
                            </w:pPr>
                          </w:p>
                          <w:p w14:paraId="03863AB9" w14:textId="71A622E6" w:rsidR="00240191" w:rsidRPr="00A10180" w:rsidRDefault="00240191" w:rsidP="00240191">
                            <w:pPr>
                              <w:rPr>
                                <w:lang w:val="en-GB"/>
                              </w:rPr>
                            </w:pPr>
                            <w:r>
                              <w:rPr>
                                <w:lang w:val="en-GB"/>
                              </w:rPr>
                              <w:t xml:space="preserve">The reporting entity </w:t>
                            </w:r>
                            <w:r w:rsidR="00044199">
                              <w:rPr>
                                <w:lang w:val="en-GB"/>
                              </w:rPr>
                              <w:t xml:space="preserve">has a tax liability outstanding to the Maltese Government of EUR 150 million, recognised </w:t>
                            </w:r>
                            <w:r w:rsidR="00B16E7E">
                              <w:rPr>
                                <w:lang w:val="en-GB"/>
                              </w:rPr>
                              <w:t>in the financial accounts of the institution 30</w:t>
                            </w:r>
                            <w:r w:rsidR="00B16E7E" w:rsidRPr="00B16E7E">
                              <w:rPr>
                                <w:vertAlign w:val="superscript"/>
                                <w:lang w:val="en-GB"/>
                              </w:rPr>
                              <w:t>th</w:t>
                            </w:r>
                            <w:r w:rsidR="00B16E7E">
                              <w:rPr>
                                <w:lang w:val="en-GB"/>
                              </w:rPr>
                              <w:t xml:space="preserve"> June</w:t>
                            </w:r>
                            <w:r w:rsidR="00044199">
                              <w:rPr>
                                <w:lang w:val="en-GB"/>
                              </w:rPr>
                              <w:t xml:space="preserve"> 2019. There is no maturity date for this liability, and the liability does not qualify as own funds</w:t>
                            </w:r>
                            <w:r>
                              <w:rPr>
                                <w:lang w:val="en-GB"/>
                              </w:rPr>
                              <w:t xml:space="preserve"> </w:t>
                            </w:r>
                            <w:r w:rsidRPr="00247671">
                              <w:rPr>
                                <w:lang w:val="en-GB"/>
                              </w:rPr>
                              <w:t xml:space="preserve">The applicable law of the </w:t>
                            </w:r>
                            <w:r>
                              <w:rPr>
                                <w:lang w:val="en-GB"/>
                              </w:rPr>
                              <w:t>loan</w:t>
                            </w:r>
                            <w:r w:rsidRPr="00247671">
                              <w:rPr>
                                <w:lang w:val="en-GB"/>
                              </w:rPr>
                              <w:t xml:space="preserve"> is the one of </w:t>
                            </w:r>
                            <w:r w:rsidR="00044199">
                              <w:rPr>
                                <w:lang w:val="en-GB"/>
                              </w:rPr>
                              <w:t>Malta</w:t>
                            </w:r>
                            <w:r w:rsidRPr="00247671">
                              <w:rPr>
                                <w:lang w:val="en-GB"/>
                              </w:rPr>
                              <w:t>.</w:t>
                            </w:r>
                            <w:r>
                              <w:rPr>
                                <w:lang w:val="en-GB"/>
                              </w:rPr>
                              <w:t xml:space="preserve"> The insolvency ranking of the subordinated loan under the law of the country where the reporting instituti</w:t>
                            </w:r>
                            <w:r w:rsidR="00044199">
                              <w:rPr>
                                <w:lang w:val="en-GB"/>
                              </w:rPr>
                              <w:t>on is incorporated is equal to 7</w:t>
                            </w:r>
                            <w:r>
                              <w:rPr>
                                <w:lang w:val="en-GB"/>
                              </w:rPr>
                              <w:t>.</w:t>
                            </w:r>
                          </w:p>
                          <w:p w14:paraId="4F877744" w14:textId="77777777" w:rsidR="00240191" w:rsidRDefault="00240191" w:rsidP="00240191">
                            <w:pPr>
                              <w:rPr>
                                <w:lang w:val="en-GB"/>
                              </w:rPr>
                            </w:pPr>
                          </w:p>
                          <w:p w14:paraId="1AF73E0D" w14:textId="72CC1B06" w:rsidR="00240191" w:rsidRDefault="00240191" w:rsidP="00240191">
                            <w:pPr>
                              <w:rPr>
                                <w:lang w:val="en-GB"/>
                              </w:rPr>
                            </w:pPr>
                            <w:r>
                              <w:rPr>
                                <w:lang w:val="en-GB"/>
                              </w:rPr>
                              <w:t xml:space="preserve">As at 31 December 2019, the entity should report this </w:t>
                            </w:r>
                            <w:r w:rsidR="00044199">
                              <w:rPr>
                                <w:lang w:val="en-GB"/>
                              </w:rPr>
                              <w:t>tax liability</w:t>
                            </w:r>
                            <w:r>
                              <w:rPr>
                                <w:lang w:val="en-GB"/>
                              </w:rPr>
                              <w:t xml:space="preserve"> as follows:</w:t>
                            </w:r>
                          </w:p>
                          <w:p w14:paraId="1A14441A" w14:textId="77777777" w:rsidR="00240191" w:rsidRDefault="00240191" w:rsidP="00240191">
                            <w:pPr>
                              <w:rPr>
                                <w:lang w:val="en-GB"/>
                              </w:rPr>
                            </w:pPr>
                          </w:p>
                          <w:p w14:paraId="168568F2" w14:textId="404B083D" w:rsidR="00240191" w:rsidRDefault="00B16E7E" w:rsidP="00240191">
                            <w:pPr>
                              <w:rPr>
                                <w:lang w:val="en-GB"/>
                              </w:rPr>
                            </w:pPr>
                            <w:r w:rsidRPr="00B16E7E">
                              <w:drawing>
                                <wp:inline distT="0" distB="0" distL="0" distR="0" wp14:anchorId="10CA7888" wp14:editId="35201389">
                                  <wp:extent cx="9574530" cy="1630205"/>
                                  <wp:effectExtent l="0" t="0" r="7620" b="82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74530" cy="1630205"/>
                                          </a:xfrm>
                                          <a:prstGeom prst="rect">
                                            <a:avLst/>
                                          </a:prstGeom>
                                          <a:noFill/>
                                          <a:ln>
                                            <a:noFill/>
                                          </a:ln>
                                        </pic:spPr>
                                      </pic:pic>
                                    </a:graphicData>
                                  </a:graphic>
                                </wp:inline>
                              </w:drawing>
                            </w:r>
                          </w:p>
                          <w:p w14:paraId="1717DB0B" w14:textId="77777777" w:rsidR="00240191" w:rsidRDefault="00240191" w:rsidP="00240191">
                            <w:pPr>
                              <w:rPr>
                                <w:lang w:val="en-GB"/>
                              </w:rPr>
                            </w:pPr>
                          </w:p>
                          <w:p w14:paraId="093AE148" w14:textId="5CBF5EFE" w:rsidR="00240191" w:rsidRPr="00991041" w:rsidRDefault="00240191" w:rsidP="0024019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8AFD3B" id="Text Box 91" o:spid="_x0000_s1037" type="#_x0000_t202" style="position:absolute;margin-left:1in;margin-top:0;width:768.85pt;height:469.25pt;z-index:2516623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" fillcolor="white [3201]" strokeweight=".5pt">
                <v:textbox style="mso-fit-shape-to-text:t">
                  <w:txbxContent>
                    <w:p w14:paraId="004B2449" w14:textId="77777777" w:rsidR="00240191" w:rsidRPr="00991041" w:rsidRDefault="00240191" w:rsidP="00240191">
                      <w:pPr>
                        <w:rPr>
                          <w:b/>
                          <w:lang w:val="en-GB"/>
                        </w:rPr>
                      </w:pPr>
                      <w:r>
                        <w:rPr>
                          <w:b/>
                          <w:lang w:val="en-GB"/>
                        </w:rPr>
                        <w:t>Simplified e</w:t>
                      </w:r>
                      <w:r w:rsidRPr="00991041">
                        <w:rPr>
                          <w:b/>
                          <w:lang w:val="en-GB"/>
                        </w:rPr>
                        <w:t>xample</w:t>
                      </w:r>
                    </w:p>
                    <w:p w14:paraId="5DBBAA6F" w14:textId="77777777" w:rsidR="00240191" w:rsidRPr="00991041" w:rsidRDefault="00240191" w:rsidP="00240191">
                      <w:pPr>
                        <w:rPr>
                          <w:lang w:val="en-GB"/>
                        </w:rPr>
                      </w:pPr>
                    </w:p>
                    <w:p w14:paraId="03863AB9" w14:textId="71A622E6" w:rsidR="00240191" w:rsidRPr="00A10180" w:rsidRDefault="00240191" w:rsidP="00240191">
                      <w:pPr>
                        <w:rPr>
                          <w:lang w:val="en-GB"/>
                        </w:rPr>
                      </w:pPr>
                      <w:r>
                        <w:rPr>
                          <w:lang w:val="en-GB"/>
                        </w:rPr>
                        <w:t xml:space="preserve">The reporting entity </w:t>
                      </w:r>
                      <w:r w:rsidR="00044199">
                        <w:rPr>
                          <w:lang w:val="en-GB"/>
                        </w:rPr>
                        <w:t xml:space="preserve">has a tax liability outstanding to the Maltese Government of EUR 150 million, recognised </w:t>
                      </w:r>
                      <w:r w:rsidR="00B16E7E">
                        <w:rPr>
                          <w:lang w:val="en-GB"/>
                        </w:rPr>
                        <w:t>in the financial accounts of the institution 30</w:t>
                      </w:r>
                      <w:r w:rsidR="00B16E7E" w:rsidRPr="00B16E7E">
                        <w:rPr>
                          <w:vertAlign w:val="superscript"/>
                          <w:lang w:val="en-GB"/>
                        </w:rPr>
                        <w:t>th</w:t>
                      </w:r>
                      <w:r w:rsidR="00B16E7E">
                        <w:rPr>
                          <w:lang w:val="en-GB"/>
                        </w:rPr>
                        <w:t xml:space="preserve"> June</w:t>
                      </w:r>
                      <w:r w:rsidR="00044199">
                        <w:rPr>
                          <w:lang w:val="en-GB"/>
                        </w:rPr>
                        <w:t xml:space="preserve"> 2019. There is no maturity date for this liability, and the liability does not qualify as own funds</w:t>
                      </w:r>
                      <w:r>
                        <w:rPr>
                          <w:lang w:val="en-GB"/>
                        </w:rPr>
                        <w:t xml:space="preserve"> </w:t>
                      </w:r>
                      <w:r w:rsidRPr="00247671">
                        <w:rPr>
                          <w:lang w:val="en-GB"/>
                        </w:rPr>
                        <w:t xml:space="preserve">The applicable law of the </w:t>
                      </w:r>
                      <w:r>
                        <w:rPr>
                          <w:lang w:val="en-GB"/>
                        </w:rPr>
                        <w:t>loan</w:t>
                      </w:r>
                      <w:r w:rsidRPr="00247671">
                        <w:rPr>
                          <w:lang w:val="en-GB"/>
                        </w:rPr>
                        <w:t xml:space="preserve"> is the one of </w:t>
                      </w:r>
                      <w:r w:rsidR="00044199">
                        <w:rPr>
                          <w:lang w:val="en-GB"/>
                        </w:rPr>
                        <w:t>Malta</w:t>
                      </w:r>
                      <w:r w:rsidRPr="00247671">
                        <w:rPr>
                          <w:lang w:val="en-GB"/>
                        </w:rPr>
                        <w:t>.</w:t>
                      </w:r>
                      <w:r>
                        <w:rPr>
                          <w:lang w:val="en-GB"/>
                        </w:rPr>
                        <w:t xml:space="preserve"> The insolvency ranking of the subordinated loan under the law of the country where the reporting instituti</w:t>
                      </w:r>
                      <w:r w:rsidR="00044199">
                        <w:rPr>
                          <w:lang w:val="en-GB"/>
                        </w:rPr>
                        <w:t>on is incorporated is equal to 7</w:t>
                      </w:r>
                      <w:r>
                        <w:rPr>
                          <w:lang w:val="en-GB"/>
                        </w:rPr>
                        <w:t>.</w:t>
                      </w:r>
                    </w:p>
                    <w:p w14:paraId="4F877744" w14:textId="77777777" w:rsidR="00240191" w:rsidRDefault="00240191" w:rsidP="00240191">
                      <w:pPr>
                        <w:rPr>
                          <w:lang w:val="en-GB"/>
                        </w:rPr>
                      </w:pPr>
                    </w:p>
                    <w:p w14:paraId="1AF73E0D" w14:textId="72CC1B06" w:rsidR="00240191" w:rsidRDefault="00240191" w:rsidP="00240191">
                      <w:pPr>
                        <w:rPr>
                          <w:lang w:val="en-GB"/>
                        </w:rPr>
                      </w:pPr>
                      <w:r>
                        <w:rPr>
                          <w:lang w:val="en-GB"/>
                        </w:rPr>
                        <w:t xml:space="preserve">As at 31 December 2019, the entity should report this </w:t>
                      </w:r>
                      <w:r w:rsidR="00044199">
                        <w:rPr>
                          <w:lang w:val="en-GB"/>
                        </w:rPr>
                        <w:t>tax liability</w:t>
                      </w:r>
                      <w:r>
                        <w:rPr>
                          <w:lang w:val="en-GB"/>
                        </w:rPr>
                        <w:t xml:space="preserve"> as follows:</w:t>
                      </w:r>
                    </w:p>
                    <w:p w14:paraId="1A14441A" w14:textId="77777777" w:rsidR="00240191" w:rsidRDefault="00240191" w:rsidP="00240191">
                      <w:pPr>
                        <w:rPr>
                          <w:lang w:val="en-GB"/>
                        </w:rPr>
                      </w:pPr>
                    </w:p>
                    <w:p w14:paraId="168568F2" w14:textId="404B083D" w:rsidR="00240191" w:rsidRDefault="00B16E7E" w:rsidP="00240191">
                      <w:pPr>
                        <w:rPr>
                          <w:lang w:val="en-GB"/>
                        </w:rPr>
                      </w:pPr>
                      <w:r w:rsidRPr="00B16E7E">
                        <w:drawing>
                          <wp:inline distT="0" distB="0" distL="0" distR="0" wp14:anchorId="10CA7888" wp14:editId="35201389">
                            <wp:extent cx="9574530" cy="1630205"/>
                            <wp:effectExtent l="0" t="0" r="7620" b="82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74530" cy="1630205"/>
                                    </a:xfrm>
                                    <a:prstGeom prst="rect">
                                      <a:avLst/>
                                    </a:prstGeom>
                                    <a:noFill/>
                                    <a:ln>
                                      <a:noFill/>
                                    </a:ln>
                                  </pic:spPr>
                                </pic:pic>
                              </a:graphicData>
                            </a:graphic>
                          </wp:inline>
                        </w:drawing>
                      </w:r>
                    </w:p>
                    <w:p w14:paraId="1717DB0B" w14:textId="77777777" w:rsidR="00240191" w:rsidRDefault="00240191" w:rsidP="00240191">
                      <w:pPr>
                        <w:rPr>
                          <w:lang w:val="en-GB"/>
                        </w:rPr>
                      </w:pPr>
                    </w:p>
                    <w:p w14:paraId="093AE148" w14:textId="5CBF5EFE" w:rsidR="00240191" w:rsidRPr="00991041" w:rsidRDefault="00240191" w:rsidP="00240191">
                      <w:pPr>
                        <w:rPr>
                          <w:lang w:val="en-GB"/>
                        </w:rPr>
                      </w:pPr>
                    </w:p>
                  </w:txbxContent>
                </v:textbox>
                <w10:wrap anchorx="page"/>
              </v:shape>
            </w:pict>
          </mc:Fallback>
        </mc:AlternateContent>
      </w:r>
    </w:p>
    <w:p w14:paraId="7FC0E64E" w14:textId="70FB03DC" w:rsidR="00240191" w:rsidRDefault="00240191" w:rsidP="00EA0B77">
      <w:pPr>
        <w:spacing w:after="160" w:line="259" w:lineRule="auto"/>
        <w:jc w:val="left"/>
        <w:rPr>
          <w:rFonts w:ascii="Cambria" w:hAnsi="Cambria"/>
          <w:lang w:val="en-GB"/>
        </w:rPr>
      </w:pPr>
    </w:p>
    <w:p w14:paraId="68D00D53" w14:textId="77777777" w:rsidR="00240191" w:rsidRDefault="00240191" w:rsidP="00EA0B77">
      <w:pPr>
        <w:spacing w:after="160" w:line="259" w:lineRule="auto"/>
        <w:jc w:val="left"/>
        <w:rPr>
          <w:rFonts w:ascii="Cambria" w:hAnsi="Cambria"/>
          <w:lang w:val="en-GB"/>
        </w:rPr>
        <w:sectPr w:rsidR="00240191" w:rsidSect="00240191">
          <w:pgSz w:w="16838" w:h="11906" w:orient="landscape"/>
          <w:pgMar w:top="1440" w:right="2552" w:bottom="1440" w:left="1440" w:header="708" w:footer="708" w:gutter="0"/>
          <w:cols w:space="708"/>
          <w:titlePg/>
          <w:docGrid w:linePitch="360"/>
        </w:sectPr>
      </w:pPr>
    </w:p>
    <w:p w14:paraId="51A7877E" w14:textId="1E0CF9E9" w:rsidR="00EA0B77" w:rsidRDefault="00EA0B77" w:rsidP="00EA0B77">
      <w:pPr>
        <w:spacing w:after="160" w:line="259" w:lineRule="auto"/>
        <w:jc w:val="left"/>
        <w:rPr>
          <w:rFonts w:ascii="Cambria" w:hAnsi="Cambria"/>
          <w:lang w:val="en-GB"/>
        </w:rPr>
      </w:pPr>
    </w:p>
    <w:p w14:paraId="45574A00" w14:textId="454DBD24" w:rsidR="00B9129C" w:rsidRPr="00C243CD" w:rsidRDefault="00B9129C" w:rsidP="00B9129C">
      <w:pPr>
        <w:pStyle w:val="Heading3"/>
        <w:numPr>
          <w:ilvl w:val="0"/>
          <w:numId w:val="22"/>
        </w:numPr>
        <w:ind w:left="0" w:firstLine="0"/>
        <w:rPr>
          <w:rFonts w:ascii="Cambria" w:hAnsi="Cambria"/>
          <w:lang w:val="en-GB"/>
        </w:rPr>
      </w:pPr>
      <w:bookmarkStart w:id="228" w:name="_Toc12973033"/>
      <w:bookmarkStart w:id="229" w:name="_Toc13755763"/>
      <w:r w:rsidRPr="00C243CD">
        <w:rPr>
          <w:rFonts w:ascii="Cambria" w:hAnsi="Cambria"/>
          <w:lang w:val="en-GB"/>
        </w:rPr>
        <w:lastRenderedPageBreak/>
        <w:t>T</w:t>
      </w:r>
      <w:r>
        <w:rPr>
          <w:rFonts w:ascii="Cambria" w:hAnsi="Cambria"/>
          <w:lang w:val="en-GB"/>
        </w:rPr>
        <w:t>12</w:t>
      </w:r>
      <w:r w:rsidRPr="00C243CD">
        <w:rPr>
          <w:rFonts w:ascii="Cambria" w:hAnsi="Cambria"/>
          <w:lang w:val="en-GB"/>
        </w:rPr>
        <w:t xml:space="preserve">.00 </w:t>
      </w:r>
      <w:r>
        <w:rPr>
          <w:rFonts w:ascii="Cambria" w:hAnsi="Cambria"/>
          <w:lang w:val="en-GB"/>
        </w:rPr>
        <w:t>–</w:t>
      </w:r>
      <w:r w:rsidRPr="00C243CD">
        <w:rPr>
          <w:rFonts w:ascii="Cambria" w:hAnsi="Cambria"/>
          <w:lang w:val="en-GB"/>
        </w:rPr>
        <w:t xml:space="preserve"> </w:t>
      </w:r>
      <w:r>
        <w:rPr>
          <w:rFonts w:ascii="Cambria" w:hAnsi="Cambria"/>
          <w:lang w:val="en-GB"/>
        </w:rPr>
        <w:t>Major Off Balance Sheet Counterparties</w:t>
      </w:r>
      <w:bookmarkEnd w:id="228"/>
      <w:bookmarkEnd w:id="229"/>
    </w:p>
    <w:p w14:paraId="5039E5BE" w14:textId="0156FAAF" w:rsidR="00B9129C" w:rsidRDefault="00B9129C" w:rsidP="00EA0B77">
      <w:pPr>
        <w:spacing w:after="160" w:line="259" w:lineRule="auto"/>
        <w:jc w:val="left"/>
        <w:rPr>
          <w:rFonts w:ascii="Cambria" w:hAnsi="Cambria"/>
          <w:lang w:val="en-GB"/>
        </w:rPr>
      </w:pPr>
      <w:r>
        <w:rPr>
          <w:rFonts w:ascii="Cambria" w:hAnsi="Cambria"/>
          <w:lang w:val="en-GB"/>
        </w:rPr>
        <w:t>This template covers the reporting requirements for CIR 2018/1624 template Z 05.02 “Major Off Balance Sheet Counterparties”.</w:t>
      </w:r>
    </w:p>
    <w:p w14:paraId="7D78D98C" w14:textId="29B8BEBF" w:rsidR="000D5E4E" w:rsidRPr="00C243CD" w:rsidRDefault="000D5E4E" w:rsidP="000D5E4E">
      <w:pPr>
        <w:pStyle w:val="Heading4"/>
        <w:rPr>
          <w:rFonts w:ascii="Cambria" w:hAnsi="Cambria"/>
          <w:lang w:val="en-GB"/>
        </w:rPr>
      </w:pPr>
      <w:r w:rsidRPr="00C243CD">
        <w:rPr>
          <w:rFonts w:ascii="Cambria" w:hAnsi="Cambria"/>
          <w:lang w:val="en-GB"/>
        </w:rPr>
        <w:t xml:space="preserve">c0010 - </w:t>
      </w:r>
      <w:r w:rsidRPr="000D5E4E">
        <w:rPr>
          <w:rFonts w:ascii="Cambria" w:hAnsi="Cambria"/>
          <w:lang w:val="en-GB"/>
        </w:rPr>
        <w:t>Entity name</w:t>
      </w:r>
    </w:p>
    <w:p w14:paraId="609E270B" w14:textId="77777777" w:rsidR="000D5E4E" w:rsidRDefault="000D5E4E" w:rsidP="000D5E4E">
      <w:pPr>
        <w:pStyle w:val="Heading4"/>
        <w:rPr>
          <w:rFonts w:ascii="Cambria" w:eastAsiaTheme="minorHAnsi" w:hAnsi="Cambria" w:cstheme="minorBidi"/>
          <w:i w:val="0"/>
          <w:iCs w:val="0"/>
          <w:color w:val="auto"/>
          <w:lang w:val="en-GB"/>
        </w:rPr>
      </w:pPr>
      <w:r w:rsidRPr="000D5E4E">
        <w:rPr>
          <w:rFonts w:ascii="Cambria" w:eastAsiaTheme="minorHAnsi" w:hAnsi="Cambria" w:cstheme="minorBidi"/>
          <w:i w:val="0"/>
          <w:iCs w:val="0"/>
          <w:color w:val="auto"/>
          <w:lang w:val="en-GB"/>
        </w:rPr>
        <w:t>Name of the major counterparty or, where applicable, name of a group of connected clients. The name of a group of connected clients shall be the name of the parent company or, when the group of connected clients does not have a parent, the group's commercial name.</w:t>
      </w:r>
    </w:p>
    <w:p w14:paraId="24594C38" w14:textId="7A4C129E" w:rsidR="000D5E4E" w:rsidRPr="00C243CD" w:rsidRDefault="000D5E4E" w:rsidP="000D5E4E">
      <w:pPr>
        <w:pStyle w:val="Heading4"/>
        <w:rPr>
          <w:rFonts w:ascii="Cambria" w:hAnsi="Cambria"/>
          <w:lang w:val="en-GB"/>
        </w:rPr>
      </w:pPr>
      <w:r w:rsidRPr="00C243CD">
        <w:rPr>
          <w:rFonts w:ascii="Cambria" w:hAnsi="Cambria"/>
          <w:lang w:val="en-GB"/>
        </w:rPr>
        <w:t xml:space="preserve">c0020 - </w:t>
      </w:r>
      <w:r w:rsidRPr="000D5E4E">
        <w:rPr>
          <w:rFonts w:ascii="Cambria" w:hAnsi="Cambria"/>
          <w:lang w:val="en-GB"/>
        </w:rPr>
        <w:t>Counterparty identifier (preferably LEI)</w:t>
      </w:r>
    </w:p>
    <w:p w14:paraId="18795780" w14:textId="77777777" w:rsidR="000D5E4E" w:rsidRDefault="000D5E4E" w:rsidP="000D5E4E">
      <w:pPr>
        <w:rPr>
          <w:rFonts w:ascii="Cambria" w:hAnsi="Cambria"/>
          <w:lang w:val="en-GB"/>
        </w:rPr>
      </w:pPr>
      <w:r w:rsidRPr="00C30939">
        <w:rPr>
          <w:rFonts w:ascii="Cambria" w:hAnsi="Cambria"/>
          <w:lang w:val="en-GB"/>
        </w:rPr>
        <w:t>Please report the creditor’s LEI code, issued by the Global Legal Entity Identifier Foundation and recommended by the FSB. In the absence of a LEI, in the case of banks’ the ECB Monetary Financial Institutions identifier (MFI ID) used in RIAD should be reported. Exclusively in absence of both these identifiers, an internal identifier could be reported</w:t>
      </w:r>
      <w:r w:rsidRPr="00C243CD">
        <w:rPr>
          <w:rFonts w:ascii="Cambria" w:hAnsi="Cambria"/>
          <w:lang w:val="en-GB"/>
        </w:rPr>
        <w:t xml:space="preserve"> </w:t>
      </w:r>
      <w:r>
        <w:rPr>
          <w:rFonts w:ascii="Cambria" w:hAnsi="Cambria"/>
          <w:lang w:val="en-GB"/>
        </w:rPr>
        <w:t>(t</w:t>
      </w:r>
      <w:r w:rsidRPr="00C243CD">
        <w:rPr>
          <w:rFonts w:ascii="Cambria" w:hAnsi="Cambria"/>
          <w:lang w:val="en-GB"/>
        </w:rPr>
        <w:t>here should be only one unique identifier used per counterpart</w:t>
      </w:r>
      <w:r>
        <w:rPr>
          <w:rFonts w:ascii="Cambria" w:hAnsi="Cambria"/>
          <w:lang w:val="en-GB"/>
        </w:rPr>
        <w:t>)</w:t>
      </w:r>
      <w:r w:rsidRPr="00C243CD">
        <w:rPr>
          <w:rFonts w:ascii="Cambria" w:hAnsi="Cambria"/>
          <w:lang w:val="en-GB"/>
        </w:rPr>
        <w:t>.</w:t>
      </w:r>
    </w:p>
    <w:p w14:paraId="6DEF5963" w14:textId="7D1CCD93" w:rsidR="000D5E4E" w:rsidRPr="000D5E4E" w:rsidRDefault="000D5E4E" w:rsidP="000D5E4E">
      <w:pPr>
        <w:rPr>
          <w:rFonts w:ascii="Cambria" w:hAnsi="Cambria"/>
          <w:lang w:val="en-GB"/>
        </w:rPr>
      </w:pPr>
      <w:r w:rsidRPr="000D5E4E">
        <w:rPr>
          <w:rFonts w:ascii="Cambria" w:eastAsiaTheme="majorEastAsia" w:hAnsi="Cambria" w:cstheme="majorBidi"/>
          <w:i/>
          <w:iCs/>
          <w:color w:val="2E74B5" w:themeColor="accent1" w:themeShade="BF"/>
          <w:lang w:val="en-GB"/>
        </w:rPr>
        <w:t>c00</w:t>
      </w:r>
      <w:r>
        <w:rPr>
          <w:rFonts w:ascii="Cambria" w:eastAsiaTheme="majorEastAsia" w:hAnsi="Cambria" w:cstheme="majorBidi"/>
          <w:i/>
          <w:iCs/>
          <w:color w:val="2E74B5" w:themeColor="accent1" w:themeShade="BF"/>
          <w:lang w:val="en-GB"/>
        </w:rPr>
        <w:t>25</w:t>
      </w:r>
      <w:r w:rsidRPr="000D5E4E">
        <w:rPr>
          <w:rFonts w:ascii="Cambria" w:eastAsiaTheme="majorEastAsia" w:hAnsi="Cambria" w:cstheme="majorBidi"/>
          <w:i/>
          <w:iCs/>
          <w:color w:val="2E74B5" w:themeColor="accent1" w:themeShade="BF"/>
          <w:lang w:val="en-GB"/>
        </w:rPr>
        <w:t xml:space="preserve"> -</w:t>
      </w:r>
      <w:r w:rsidRPr="007A58AD">
        <w:rPr>
          <w:rFonts w:ascii="Cambria" w:hAnsi="Cambria"/>
          <w:lang w:val="en-GB"/>
        </w:rPr>
        <w:t xml:space="preserve"> </w:t>
      </w:r>
      <w:r w:rsidRPr="00047E4D">
        <w:rPr>
          <w:rFonts w:ascii="Cambria" w:eastAsiaTheme="majorEastAsia" w:hAnsi="Cambria" w:cstheme="majorBidi"/>
          <w:i/>
          <w:iCs/>
          <w:color w:val="2E74B5" w:themeColor="accent1" w:themeShade="BF"/>
          <w:lang w:val="en-GB"/>
        </w:rPr>
        <w:t>Type of Identifier</w:t>
      </w:r>
    </w:p>
    <w:p w14:paraId="5800A2AE" w14:textId="56887357" w:rsidR="000D5E4E" w:rsidRPr="000D5E4E" w:rsidRDefault="000D5E4E" w:rsidP="000D5E4E">
      <w:pPr>
        <w:pStyle w:val="Heading4"/>
        <w:rPr>
          <w:rFonts w:ascii="Cambria" w:eastAsiaTheme="minorHAnsi" w:hAnsi="Cambria" w:cstheme="minorBidi"/>
          <w:i w:val="0"/>
          <w:iCs w:val="0"/>
          <w:color w:val="auto"/>
          <w:lang w:val="en-GB"/>
        </w:rPr>
      </w:pPr>
      <w:r w:rsidRPr="000D5E4E">
        <w:rPr>
          <w:rFonts w:ascii="Cambria" w:eastAsiaTheme="minorHAnsi" w:hAnsi="Cambria" w:cstheme="minorBidi"/>
          <w:i w:val="0"/>
          <w:iCs w:val="0"/>
          <w:color w:val="auto"/>
          <w:lang w:val="en-GB"/>
        </w:rPr>
        <w:t xml:space="preserve">To be chosen among the following options: </w:t>
      </w:r>
      <w:r>
        <w:rPr>
          <w:rFonts w:ascii="Cambria" w:eastAsiaTheme="minorHAnsi" w:hAnsi="Cambria" w:cstheme="minorBidi"/>
          <w:i w:val="0"/>
          <w:iCs w:val="0"/>
          <w:color w:val="auto"/>
          <w:lang w:val="en-GB"/>
        </w:rPr>
        <w:t>“Exposures to individual clients”,</w:t>
      </w:r>
      <w:r w:rsidRPr="000D5E4E">
        <w:rPr>
          <w:rFonts w:ascii="Cambria" w:eastAsiaTheme="minorHAnsi" w:hAnsi="Cambria" w:cstheme="minorBidi"/>
          <w:i w:val="0"/>
          <w:iCs w:val="0"/>
          <w:color w:val="auto"/>
          <w:lang w:val="en-GB"/>
        </w:rPr>
        <w:t xml:space="preserve"> </w:t>
      </w:r>
      <w:r>
        <w:rPr>
          <w:rFonts w:ascii="Cambria" w:eastAsiaTheme="minorHAnsi" w:hAnsi="Cambria" w:cstheme="minorBidi"/>
          <w:i w:val="0"/>
          <w:iCs w:val="0"/>
          <w:color w:val="auto"/>
          <w:lang w:val="en-GB"/>
        </w:rPr>
        <w:t>“</w:t>
      </w:r>
      <w:r w:rsidRPr="000D5E4E">
        <w:rPr>
          <w:rFonts w:ascii="Cambria" w:eastAsiaTheme="minorHAnsi" w:hAnsi="Cambria" w:cstheme="minorBidi"/>
          <w:i w:val="0"/>
          <w:iCs w:val="0"/>
          <w:color w:val="auto"/>
          <w:lang w:val="en-GB"/>
        </w:rPr>
        <w:t>Exposures to groups of connected clients”.</w:t>
      </w:r>
    </w:p>
    <w:p w14:paraId="2B6DC28E" w14:textId="46FA0602" w:rsidR="000D5E4E" w:rsidRPr="00C243CD" w:rsidRDefault="000D5E4E" w:rsidP="000D5E4E">
      <w:pPr>
        <w:pStyle w:val="Heading4"/>
        <w:rPr>
          <w:rFonts w:ascii="Cambria" w:hAnsi="Cambria"/>
          <w:lang w:val="en-GB"/>
        </w:rPr>
      </w:pPr>
      <w:r w:rsidRPr="00C243CD">
        <w:rPr>
          <w:rFonts w:ascii="Cambria" w:hAnsi="Cambria"/>
          <w:lang w:val="en-GB"/>
        </w:rPr>
        <w:t xml:space="preserve">c0030 - </w:t>
      </w:r>
      <w:r w:rsidRPr="000D5E4E">
        <w:rPr>
          <w:rFonts w:ascii="Cambria" w:hAnsi="Cambria"/>
          <w:lang w:val="en-GB"/>
        </w:rPr>
        <w:t>Group or individual</w:t>
      </w:r>
    </w:p>
    <w:p w14:paraId="2AD1A960" w14:textId="77777777" w:rsidR="000D5E4E" w:rsidRPr="000D5E4E" w:rsidRDefault="000D5E4E" w:rsidP="000D5E4E">
      <w:pPr>
        <w:pStyle w:val="Heading4"/>
        <w:rPr>
          <w:rFonts w:ascii="Cambria" w:eastAsiaTheme="minorHAnsi" w:hAnsi="Cambria" w:cstheme="minorBidi"/>
          <w:i w:val="0"/>
          <w:iCs w:val="0"/>
          <w:color w:val="auto"/>
          <w:lang w:val="en-GB"/>
        </w:rPr>
      </w:pPr>
      <w:r w:rsidRPr="000D5E4E">
        <w:rPr>
          <w:rFonts w:ascii="Cambria" w:eastAsiaTheme="minorHAnsi" w:hAnsi="Cambria" w:cstheme="minorBidi"/>
          <w:i w:val="0"/>
          <w:iCs w:val="0"/>
          <w:color w:val="auto"/>
          <w:lang w:val="en-GB"/>
        </w:rPr>
        <w:t>To be chosen among the following options: “LEI code”, “MFI code” or “Type of identifier, other than LEI or MFI code”.</w:t>
      </w:r>
    </w:p>
    <w:p w14:paraId="1F0A88E4" w14:textId="77777777" w:rsidR="000D5E4E" w:rsidRPr="005A42C4" w:rsidRDefault="000D5E4E" w:rsidP="000D5E4E">
      <w:pPr>
        <w:pStyle w:val="Heading4"/>
        <w:rPr>
          <w:rFonts w:ascii="Cambria" w:hAnsi="Cambria"/>
          <w:lang w:val="en-GB"/>
        </w:rPr>
      </w:pPr>
      <w:r w:rsidRPr="00C243CD">
        <w:rPr>
          <w:rFonts w:ascii="Cambria" w:hAnsi="Cambria"/>
          <w:lang w:val="en-GB"/>
        </w:rPr>
        <w:t xml:space="preserve">c0040 - </w:t>
      </w:r>
      <w:r w:rsidRPr="005A42C4">
        <w:rPr>
          <w:rFonts w:ascii="Cambria" w:hAnsi="Cambria"/>
          <w:lang w:val="en-GB"/>
        </w:rPr>
        <w:t>Country of incorporation</w:t>
      </w:r>
    </w:p>
    <w:p w14:paraId="58A87AB0" w14:textId="38F38102" w:rsidR="000D5E4E" w:rsidRPr="00C243CD" w:rsidRDefault="000D5E4E" w:rsidP="000D5E4E">
      <w:pPr>
        <w:rPr>
          <w:rFonts w:ascii="Cambria" w:hAnsi="Cambria"/>
          <w:lang w:val="en-GB"/>
        </w:rPr>
      </w:pPr>
      <w:r w:rsidRPr="005A42C4">
        <w:rPr>
          <w:rFonts w:ascii="Cambria" w:hAnsi="Cambria"/>
          <w:lang w:val="en-GB"/>
        </w:rPr>
        <w:t>The country of incorporation of the entity, which may be a Member State or a third country.</w:t>
      </w:r>
    </w:p>
    <w:p w14:paraId="5277912C" w14:textId="1E75B9AF" w:rsidR="000D5E4E" w:rsidRDefault="000D5E4E" w:rsidP="000D5E4E">
      <w:pPr>
        <w:pStyle w:val="Heading4"/>
        <w:rPr>
          <w:rFonts w:ascii="Cambria" w:hAnsi="Cambria"/>
          <w:lang w:val="en-GB"/>
        </w:rPr>
      </w:pPr>
      <w:r>
        <w:rPr>
          <w:rFonts w:ascii="Cambria" w:hAnsi="Cambria"/>
          <w:lang w:val="en-GB"/>
        </w:rPr>
        <w:t>c0050 – Sector</w:t>
      </w:r>
    </w:p>
    <w:p w14:paraId="500919A7" w14:textId="0EB0E304" w:rsidR="000D5E4E" w:rsidRDefault="000D5E4E" w:rsidP="00AD420A">
      <w:pPr>
        <w:rPr>
          <w:rFonts w:ascii="Cambria" w:hAnsi="Cambria"/>
          <w:lang w:val="en-GB"/>
        </w:rPr>
      </w:pPr>
      <w:r w:rsidRPr="000D5E4E">
        <w:rPr>
          <w:rFonts w:ascii="Cambria" w:hAnsi="Cambria"/>
          <w:iCs/>
          <w:lang w:val="en-GB"/>
        </w:rPr>
        <w:t>To be chosen among the following options</w:t>
      </w:r>
      <w:r>
        <w:rPr>
          <w:rFonts w:ascii="Cambria" w:hAnsi="Cambria"/>
          <w:iCs/>
          <w:lang w:val="en-GB"/>
        </w:rPr>
        <w:t xml:space="preserve"> (linked to </w:t>
      </w:r>
      <w:r w:rsidR="00AD420A">
        <w:rPr>
          <w:rFonts w:ascii="Cambria" w:hAnsi="Cambria"/>
          <w:iCs/>
          <w:lang w:val="en-GB"/>
        </w:rPr>
        <w:t>T01.00): “</w:t>
      </w:r>
      <w:r w:rsidR="00AD420A" w:rsidRPr="00AD420A">
        <w:rPr>
          <w:rFonts w:ascii="Cambria" w:hAnsi="Cambria"/>
          <w:iCs/>
          <w:lang w:val="en-GB"/>
        </w:rPr>
        <w:t>Central Banks</w:t>
      </w:r>
      <w:r w:rsidR="00AD420A">
        <w:rPr>
          <w:rFonts w:ascii="Cambria" w:hAnsi="Cambria"/>
          <w:iCs/>
          <w:lang w:val="en-GB"/>
        </w:rPr>
        <w:t>”, “</w:t>
      </w:r>
      <w:r w:rsidR="00AD420A" w:rsidRPr="00AD420A">
        <w:rPr>
          <w:rFonts w:ascii="Cambria" w:hAnsi="Cambria"/>
          <w:iCs/>
          <w:lang w:val="en-GB"/>
        </w:rPr>
        <w:t>General Governments</w:t>
      </w:r>
      <w:r w:rsidR="00AD420A">
        <w:rPr>
          <w:rFonts w:ascii="Cambria" w:hAnsi="Cambria"/>
          <w:iCs/>
          <w:lang w:val="en-GB"/>
        </w:rPr>
        <w:t>”, “</w:t>
      </w:r>
      <w:r w:rsidR="00AD420A" w:rsidRPr="00AD420A">
        <w:rPr>
          <w:rFonts w:ascii="Cambria" w:hAnsi="Cambria"/>
          <w:iCs/>
          <w:lang w:val="en-GB"/>
        </w:rPr>
        <w:t>C</w:t>
      </w:r>
      <w:r w:rsidR="00AD420A">
        <w:rPr>
          <w:rFonts w:ascii="Cambria" w:hAnsi="Cambria"/>
          <w:iCs/>
          <w:lang w:val="en-GB"/>
        </w:rPr>
        <w:t>redit institutions”, “</w:t>
      </w:r>
      <w:r w:rsidR="00AD420A" w:rsidRPr="00AD420A">
        <w:rPr>
          <w:rFonts w:ascii="Cambria" w:hAnsi="Cambria"/>
          <w:iCs/>
          <w:lang w:val="en-GB"/>
        </w:rPr>
        <w:t>Other financial corporations</w:t>
      </w:r>
      <w:r w:rsidR="00AD420A">
        <w:rPr>
          <w:rFonts w:ascii="Cambria" w:hAnsi="Cambria"/>
          <w:iCs/>
          <w:lang w:val="en-GB"/>
        </w:rPr>
        <w:t>”, “</w:t>
      </w:r>
      <w:r w:rsidR="00AD420A" w:rsidRPr="00AD420A">
        <w:rPr>
          <w:rFonts w:ascii="Cambria" w:hAnsi="Cambria"/>
          <w:iCs/>
          <w:lang w:val="en-GB"/>
        </w:rPr>
        <w:t>Non-financial corporations</w:t>
      </w:r>
      <w:r w:rsidR="00AD420A">
        <w:rPr>
          <w:rFonts w:ascii="Cambria" w:hAnsi="Cambria"/>
          <w:iCs/>
          <w:lang w:val="en-GB"/>
        </w:rPr>
        <w:t>”, “</w:t>
      </w:r>
      <w:r w:rsidR="00AD420A" w:rsidRPr="00AD420A">
        <w:rPr>
          <w:rFonts w:ascii="Cambria" w:hAnsi="Cambria"/>
          <w:iCs/>
          <w:lang w:val="en-GB"/>
        </w:rPr>
        <w:t>Households</w:t>
      </w:r>
      <w:r w:rsidR="00AD420A">
        <w:rPr>
          <w:rFonts w:ascii="Cambria" w:hAnsi="Cambria"/>
          <w:iCs/>
          <w:lang w:val="en-GB"/>
        </w:rPr>
        <w:t>”.</w:t>
      </w:r>
    </w:p>
    <w:p w14:paraId="0829FF40" w14:textId="02730F99" w:rsidR="000D5E4E" w:rsidRPr="00A229BE" w:rsidRDefault="000D5E4E" w:rsidP="00A229BE">
      <w:pPr>
        <w:pStyle w:val="Heading4"/>
        <w:rPr>
          <w:rFonts w:ascii="Cambria" w:hAnsi="Cambria"/>
          <w:lang w:val="en-GB"/>
        </w:rPr>
      </w:pPr>
      <w:r w:rsidRPr="00C243CD">
        <w:rPr>
          <w:rFonts w:ascii="Cambria" w:hAnsi="Cambria"/>
          <w:lang w:val="en-GB"/>
        </w:rPr>
        <w:t>c00</w:t>
      </w:r>
      <w:r w:rsidR="00A229BE">
        <w:rPr>
          <w:rFonts w:ascii="Cambria" w:hAnsi="Cambria"/>
          <w:lang w:val="en-GB"/>
        </w:rPr>
        <w:t>6</w:t>
      </w:r>
      <w:r w:rsidRPr="00C243CD">
        <w:rPr>
          <w:rFonts w:ascii="Cambria" w:hAnsi="Cambria"/>
          <w:lang w:val="en-GB"/>
        </w:rPr>
        <w:t xml:space="preserve">0 - </w:t>
      </w:r>
      <w:r w:rsidR="00A229BE" w:rsidRPr="00A229BE">
        <w:rPr>
          <w:rFonts w:ascii="Cambria" w:hAnsi="Cambria"/>
          <w:lang w:val="en-GB"/>
        </w:rPr>
        <w:t>Type of Off Balance Sheet Exposure</w:t>
      </w:r>
    </w:p>
    <w:p w14:paraId="1FD7B8B9" w14:textId="3A26065F" w:rsidR="00BF3DBE" w:rsidRPr="00BF3DBE" w:rsidRDefault="00A229BE" w:rsidP="00267F46">
      <w:pPr>
        <w:pStyle w:val="Heading4"/>
        <w:rPr>
          <w:rFonts w:ascii="Cambria" w:eastAsiaTheme="minorHAnsi" w:hAnsi="Cambria" w:cstheme="minorBidi"/>
          <w:i w:val="0"/>
          <w:color w:val="auto"/>
          <w:lang w:val="en-GB"/>
        </w:rPr>
      </w:pPr>
      <w:r w:rsidRPr="00A229BE">
        <w:rPr>
          <w:rFonts w:ascii="Cambria" w:eastAsiaTheme="minorHAnsi" w:hAnsi="Cambria" w:cstheme="minorBidi"/>
          <w:i w:val="0"/>
          <w:color w:val="auto"/>
          <w:lang w:val="en-GB"/>
        </w:rPr>
        <w:t xml:space="preserve">The liability type shall be one of the liability types listed in template </w:t>
      </w:r>
      <w:r>
        <w:rPr>
          <w:rFonts w:ascii="Cambria" w:eastAsiaTheme="minorHAnsi" w:hAnsi="Cambria" w:cstheme="minorBidi"/>
          <w:i w:val="0"/>
          <w:color w:val="auto"/>
          <w:lang w:val="en-GB"/>
        </w:rPr>
        <w:t>T</w:t>
      </w:r>
      <w:r w:rsidRPr="00A229BE">
        <w:rPr>
          <w:rFonts w:ascii="Cambria" w:eastAsiaTheme="minorHAnsi" w:hAnsi="Cambria" w:cstheme="minorBidi"/>
          <w:i w:val="0"/>
          <w:color w:val="auto"/>
          <w:lang w:val="en-GB"/>
        </w:rPr>
        <w:t>0</w:t>
      </w:r>
      <w:r>
        <w:rPr>
          <w:rFonts w:ascii="Cambria" w:eastAsiaTheme="minorHAnsi" w:hAnsi="Cambria" w:cstheme="minorBidi"/>
          <w:i w:val="0"/>
          <w:color w:val="auto"/>
          <w:lang w:val="en-GB"/>
        </w:rPr>
        <w:t>1.00 — Liability Structure, namely:</w:t>
      </w:r>
      <w:r w:rsidR="00267F46">
        <w:rPr>
          <w:rFonts w:ascii="Cambria" w:eastAsiaTheme="minorHAnsi" w:hAnsi="Cambria" w:cstheme="minorBidi"/>
          <w:i w:val="0"/>
          <w:color w:val="auto"/>
          <w:lang w:val="en-GB"/>
        </w:rPr>
        <w:t xml:space="preserve"> “</w:t>
      </w:r>
      <w:r w:rsidR="00BF3DBE" w:rsidRPr="00BF3DBE">
        <w:rPr>
          <w:rFonts w:ascii="Cambria" w:eastAsiaTheme="minorHAnsi" w:hAnsi="Cambria" w:cstheme="minorBidi"/>
          <w:i w:val="0"/>
          <w:color w:val="auto"/>
          <w:lang w:val="en-GB"/>
        </w:rPr>
        <w:t>Loan commitments received</w:t>
      </w:r>
      <w:r w:rsidR="00267F46">
        <w:rPr>
          <w:rFonts w:ascii="Cambria" w:eastAsiaTheme="minorHAnsi" w:hAnsi="Cambria" w:cstheme="minorBidi"/>
          <w:i w:val="0"/>
          <w:color w:val="auto"/>
          <w:lang w:val="en-GB"/>
        </w:rPr>
        <w:t>”, “</w:t>
      </w:r>
      <w:r w:rsidR="00BF3DBE" w:rsidRPr="00BF3DBE">
        <w:rPr>
          <w:rFonts w:ascii="Cambria" w:eastAsiaTheme="minorHAnsi" w:hAnsi="Cambria" w:cstheme="minorBidi"/>
          <w:i w:val="0"/>
          <w:color w:val="auto"/>
          <w:lang w:val="en-GB"/>
        </w:rPr>
        <w:t>Financial guarantees received</w:t>
      </w:r>
      <w:r w:rsidR="00267F46">
        <w:rPr>
          <w:rFonts w:ascii="Cambria" w:eastAsiaTheme="minorHAnsi" w:hAnsi="Cambria" w:cstheme="minorBidi"/>
          <w:i w:val="0"/>
          <w:color w:val="auto"/>
          <w:lang w:val="en-GB"/>
        </w:rPr>
        <w:t>”, “</w:t>
      </w:r>
      <w:r w:rsidR="00BF3DBE" w:rsidRPr="00BF3DBE">
        <w:rPr>
          <w:rFonts w:ascii="Cambria" w:eastAsiaTheme="minorHAnsi" w:hAnsi="Cambria" w:cstheme="minorBidi"/>
          <w:i w:val="0"/>
          <w:color w:val="auto"/>
          <w:lang w:val="en-GB"/>
        </w:rPr>
        <w:t>Other commitments received</w:t>
      </w:r>
      <w:r w:rsidR="00267F46">
        <w:rPr>
          <w:rFonts w:ascii="Cambria" w:eastAsiaTheme="minorHAnsi" w:hAnsi="Cambria" w:cstheme="minorBidi"/>
          <w:i w:val="0"/>
          <w:color w:val="auto"/>
          <w:lang w:val="en-GB"/>
        </w:rPr>
        <w:t>”, “</w:t>
      </w:r>
      <w:r w:rsidR="00BF3DBE">
        <w:rPr>
          <w:rFonts w:ascii="Cambria" w:eastAsiaTheme="minorHAnsi" w:hAnsi="Cambria" w:cstheme="minorBidi"/>
          <w:i w:val="0"/>
          <w:color w:val="auto"/>
          <w:lang w:val="en-GB"/>
        </w:rPr>
        <w:t>Derivatives</w:t>
      </w:r>
      <w:r w:rsidR="00267F46">
        <w:rPr>
          <w:rFonts w:ascii="Cambria" w:eastAsiaTheme="minorHAnsi" w:hAnsi="Cambria" w:cstheme="minorBidi"/>
          <w:i w:val="0"/>
          <w:color w:val="auto"/>
          <w:lang w:val="en-GB"/>
        </w:rPr>
        <w:t>”</w:t>
      </w:r>
      <w:r w:rsidR="00BF3DBE">
        <w:rPr>
          <w:rFonts w:ascii="Cambria" w:eastAsiaTheme="minorHAnsi" w:hAnsi="Cambria" w:cstheme="minorBidi"/>
          <w:i w:val="0"/>
          <w:color w:val="auto"/>
          <w:lang w:val="en-GB"/>
        </w:rPr>
        <w:t>.</w:t>
      </w:r>
      <w:r w:rsidRPr="00A229BE">
        <w:rPr>
          <w:rFonts w:ascii="Cambria" w:eastAsiaTheme="minorHAnsi" w:hAnsi="Cambria" w:cstheme="minorBidi"/>
          <w:i w:val="0"/>
          <w:color w:val="auto"/>
          <w:lang w:val="en-GB"/>
        </w:rPr>
        <w:t xml:space="preserve"> </w:t>
      </w:r>
    </w:p>
    <w:p w14:paraId="458D0EB5" w14:textId="44AF5738" w:rsidR="00A229BE" w:rsidRPr="00A229BE" w:rsidRDefault="00A229BE" w:rsidP="00A229BE">
      <w:pPr>
        <w:pStyle w:val="Heading4"/>
        <w:rPr>
          <w:rFonts w:ascii="Cambria" w:hAnsi="Cambria"/>
          <w:lang w:val="en-GB"/>
        </w:rPr>
      </w:pPr>
      <w:r w:rsidRPr="00C243CD">
        <w:rPr>
          <w:rFonts w:ascii="Cambria" w:hAnsi="Cambria"/>
          <w:lang w:val="en-GB"/>
        </w:rPr>
        <w:t>c00</w:t>
      </w:r>
      <w:r>
        <w:rPr>
          <w:rFonts w:ascii="Cambria" w:hAnsi="Cambria"/>
          <w:lang w:val="en-GB"/>
        </w:rPr>
        <w:t>7</w:t>
      </w:r>
      <w:r w:rsidRPr="00C243CD">
        <w:rPr>
          <w:rFonts w:ascii="Cambria" w:hAnsi="Cambria"/>
          <w:lang w:val="en-GB"/>
        </w:rPr>
        <w:t xml:space="preserve">0 - </w:t>
      </w:r>
      <w:r>
        <w:rPr>
          <w:rFonts w:ascii="Cambria" w:hAnsi="Cambria"/>
          <w:lang w:val="en-GB"/>
        </w:rPr>
        <w:t>Amount</w:t>
      </w:r>
    </w:p>
    <w:p w14:paraId="069C1FFA" w14:textId="39025136" w:rsidR="00B9129C" w:rsidRDefault="00A229BE" w:rsidP="00EA0B77">
      <w:pPr>
        <w:spacing w:after="160" w:line="259" w:lineRule="auto"/>
        <w:jc w:val="left"/>
        <w:rPr>
          <w:rFonts w:ascii="Cambria" w:hAnsi="Cambria"/>
          <w:lang w:val="en-GB"/>
        </w:rPr>
      </w:pPr>
      <w:r w:rsidRPr="00A229BE">
        <w:rPr>
          <w:rFonts w:ascii="Cambria" w:hAnsi="Cambria"/>
          <w:iCs/>
          <w:lang w:val="en-GB"/>
        </w:rPr>
        <w:t xml:space="preserve">The amount shall be equivalent to the definition of an ‘outstanding amount’ as prescribed for in template </w:t>
      </w:r>
      <w:r>
        <w:rPr>
          <w:rFonts w:ascii="Cambria" w:hAnsi="Cambria"/>
          <w:iCs/>
          <w:lang w:val="en-GB"/>
        </w:rPr>
        <w:t>T</w:t>
      </w:r>
      <w:r w:rsidRPr="00A229BE">
        <w:rPr>
          <w:rFonts w:ascii="Cambria" w:hAnsi="Cambria"/>
          <w:iCs/>
          <w:lang w:val="en-GB"/>
        </w:rPr>
        <w:t xml:space="preserve"> 0</w:t>
      </w:r>
      <w:r>
        <w:rPr>
          <w:rFonts w:ascii="Cambria" w:hAnsi="Cambria"/>
          <w:iCs/>
          <w:lang w:val="en-GB"/>
        </w:rPr>
        <w:t>1</w:t>
      </w:r>
      <w:r w:rsidRPr="00A229BE">
        <w:rPr>
          <w:rFonts w:ascii="Cambria" w:hAnsi="Cambria"/>
          <w:iCs/>
          <w:lang w:val="en-GB"/>
        </w:rPr>
        <w:t>.00 — Liability Structure. In case of liabilities arising from derivatives (type L.3), the close-out amounts as defined for the purposes of row 0</w:t>
      </w:r>
      <w:r>
        <w:rPr>
          <w:rFonts w:ascii="Cambria" w:hAnsi="Cambria"/>
          <w:iCs/>
          <w:lang w:val="en-GB"/>
        </w:rPr>
        <w:t>333 template T</w:t>
      </w:r>
      <w:r w:rsidRPr="00A229BE">
        <w:rPr>
          <w:rFonts w:ascii="Cambria" w:hAnsi="Cambria"/>
          <w:iCs/>
          <w:lang w:val="en-GB"/>
        </w:rPr>
        <w:t xml:space="preserve"> 0</w:t>
      </w:r>
      <w:r>
        <w:rPr>
          <w:rFonts w:ascii="Cambria" w:hAnsi="Cambria"/>
          <w:iCs/>
          <w:lang w:val="en-GB"/>
        </w:rPr>
        <w:t>1</w:t>
      </w:r>
      <w:r w:rsidRPr="00A229BE">
        <w:rPr>
          <w:rFonts w:ascii="Cambria" w:hAnsi="Cambria"/>
          <w:iCs/>
          <w:lang w:val="en-GB"/>
        </w:rPr>
        <w:t>.00 shall be reported.</w:t>
      </w:r>
    </w:p>
    <w:p w14:paraId="593F9718" w14:textId="6D650645" w:rsidR="009A5135" w:rsidRDefault="009A5135" w:rsidP="00377417">
      <w:pPr>
        <w:jc w:val="left"/>
        <w:rPr>
          <w:rFonts w:ascii="Cambria" w:hAnsi="Cambria"/>
          <w:lang w:val="en-GB"/>
        </w:rPr>
      </w:pPr>
    </w:p>
    <w:p w14:paraId="0B12A4BF" w14:textId="77777777" w:rsidR="009A5135" w:rsidRDefault="009A5135">
      <w:pPr>
        <w:spacing w:after="160" w:line="259" w:lineRule="auto"/>
        <w:jc w:val="left"/>
        <w:rPr>
          <w:rFonts w:ascii="Cambria" w:hAnsi="Cambria"/>
          <w:lang w:val="en-GB"/>
        </w:rPr>
      </w:pPr>
      <w:r>
        <w:rPr>
          <w:rFonts w:ascii="Cambria" w:hAnsi="Cambria"/>
          <w:lang w:val="en-GB"/>
        </w:rPr>
        <w:br w:type="page"/>
      </w:r>
    </w:p>
    <w:p w14:paraId="0BB2C847" w14:textId="648630FF" w:rsidR="009A5135" w:rsidRDefault="009A5135">
      <w:pPr>
        <w:spacing w:after="160" w:line="259" w:lineRule="auto"/>
        <w:jc w:val="left"/>
        <w:rPr>
          <w:rFonts w:ascii="Cambria" w:hAnsi="Cambria"/>
          <w:lang w:val="en-GB"/>
        </w:rPr>
      </w:pPr>
    </w:p>
    <w:p w14:paraId="45729125" w14:textId="2E681BFA" w:rsidR="002D6809" w:rsidRPr="00C243CD" w:rsidRDefault="003D00B4" w:rsidP="00473699">
      <w:pPr>
        <w:pStyle w:val="Heading1"/>
        <w:rPr>
          <w:rFonts w:ascii="Cambria" w:hAnsi="Cambria"/>
          <w:lang w:val="en-GB"/>
        </w:rPr>
      </w:pPr>
      <w:bookmarkStart w:id="230" w:name="_Toc12973037"/>
      <w:bookmarkStart w:id="231" w:name="_Toc13755764"/>
      <w:r w:rsidRPr="00C243CD">
        <w:rPr>
          <w:rFonts w:ascii="Cambria" w:hAnsi="Cambria"/>
          <w:lang w:val="en-GB"/>
        </w:rPr>
        <w:t>Annex 1</w:t>
      </w:r>
      <w:bookmarkEnd w:id="223"/>
      <w:r w:rsidR="00473699">
        <w:rPr>
          <w:rFonts w:ascii="Cambria" w:hAnsi="Cambria"/>
          <w:lang w:val="en-GB"/>
        </w:rPr>
        <w:t xml:space="preserve"> - </w:t>
      </w:r>
      <w:r w:rsidR="002D6809" w:rsidRPr="00C243CD">
        <w:rPr>
          <w:rFonts w:ascii="Cambria" w:hAnsi="Cambria"/>
          <w:lang w:val="en-GB"/>
        </w:rPr>
        <w:t>List of abbreviations</w:t>
      </w:r>
      <w:bookmarkEnd w:id="224"/>
      <w:bookmarkEnd w:id="230"/>
      <w:bookmarkEnd w:id="231"/>
    </w:p>
    <w:p w14:paraId="57370B76"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AIF</w:t>
      </w:r>
      <w:r w:rsidRPr="00C243CD">
        <w:rPr>
          <w:rFonts w:ascii="Cambria" w:hAnsi="Cambria"/>
          <w:lang w:val="en-GB"/>
        </w:rPr>
        <w:tab/>
        <w:t>Alternative Investment Fund</w:t>
      </w:r>
    </w:p>
    <w:p w14:paraId="75BF9198"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AIFMD</w:t>
      </w:r>
      <w:r w:rsidRPr="00C243CD">
        <w:rPr>
          <w:rFonts w:ascii="Cambria" w:hAnsi="Cambria"/>
          <w:lang w:val="en-GB"/>
        </w:rPr>
        <w:tab/>
        <w:t>Directive 2011/61/EU of the European Parliament and of the Council of 8 June 2011 on Alternative Investment Fund Managers</w:t>
      </w:r>
    </w:p>
    <w:p w14:paraId="51416B5B"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BCBS</w:t>
      </w:r>
      <w:r w:rsidRPr="00C243CD">
        <w:rPr>
          <w:rFonts w:ascii="Cambria" w:hAnsi="Cambria"/>
          <w:lang w:val="en-GB"/>
        </w:rPr>
        <w:tab/>
        <w:t>Basel Committee on Banking Supervision</w:t>
      </w:r>
    </w:p>
    <w:p w14:paraId="55C054B4" w14:textId="77777777" w:rsidR="002D6809" w:rsidRPr="00C243CD" w:rsidRDefault="002D6809" w:rsidP="009474F1">
      <w:pPr>
        <w:tabs>
          <w:tab w:val="left" w:pos="1418"/>
        </w:tabs>
        <w:ind w:left="1418" w:hanging="1418"/>
        <w:rPr>
          <w:rFonts w:ascii="Cambria" w:hAnsi="Cambria"/>
          <w:lang w:val="fr-FR"/>
        </w:rPr>
      </w:pPr>
      <w:r w:rsidRPr="00C243CD">
        <w:rPr>
          <w:rFonts w:ascii="Cambria" w:hAnsi="Cambria"/>
          <w:lang w:val="fr-FR"/>
        </w:rPr>
        <w:t>BIC</w:t>
      </w:r>
      <w:r w:rsidRPr="00C243CD">
        <w:rPr>
          <w:rFonts w:ascii="Cambria" w:hAnsi="Cambria"/>
          <w:lang w:val="fr-FR"/>
        </w:rPr>
        <w:tab/>
        <w:t>Bank Identifier Code</w:t>
      </w:r>
    </w:p>
    <w:p w14:paraId="4E7E64A4" w14:textId="77777777" w:rsidR="00563A05" w:rsidRPr="00C243CD" w:rsidRDefault="00563A05" w:rsidP="009474F1">
      <w:pPr>
        <w:tabs>
          <w:tab w:val="left" w:pos="1418"/>
        </w:tabs>
        <w:ind w:left="1418" w:hanging="1418"/>
        <w:rPr>
          <w:rFonts w:ascii="Cambria" w:hAnsi="Cambria"/>
          <w:lang w:val="fr-FR"/>
        </w:rPr>
      </w:pPr>
      <w:r w:rsidRPr="00C243CD">
        <w:rPr>
          <w:rFonts w:ascii="Cambria" w:hAnsi="Cambria"/>
          <w:lang w:val="fr-FR"/>
        </w:rPr>
        <w:t>BME</w:t>
      </w:r>
      <w:r w:rsidRPr="00C243CD">
        <w:rPr>
          <w:rFonts w:ascii="Cambria" w:hAnsi="Cambria"/>
          <w:lang w:val="fr-FR"/>
        </w:rPr>
        <w:tab/>
        <w:t>Bolsas y Mercados Españoles</w:t>
      </w:r>
    </w:p>
    <w:p w14:paraId="61E7CCF4"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BRRD</w:t>
      </w:r>
      <w:r w:rsidRPr="00C243CD">
        <w:rPr>
          <w:rFonts w:ascii="Cambria" w:hAnsi="Cambria"/>
          <w:lang w:val="en-GB"/>
        </w:rPr>
        <w:tab/>
        <w:t>Directive 2014/59/EU of the European Parliament and of the Council of 15 May 2014 establishing a framework for the recovery and resolution of credit institutions and investment firms</w:t>
      </w:r>
    </w:p>
    <w:p w14:paraId="14AEA3A1" w14:textId="77777777" w:rsidR="00CC72C1" w:rsidRPr="00C243CD" w:rsidRDefault="00CC72C1" w:rsidP="009474F1">
      <w:pPr>
        <w:tabs>
          <w:tab w:val="left" w:pos="1418"/>
        </w:tabs>
        <w:ind w:left="1418" w:hanging="1418"/>
        <w:rPr>
          <w:rFonts w:ascii="Cambria" w:hAnsi="Cambria"/>
          <w:lang w:val="en-GB"/>
        </w:rPr>
      </w:pPr>
      <w:r w:rsidRPr="00C243CD">
        <w:rPr>
          <w:rFonts w:ascii="Cambria" w:hAnsi="Cambria"/>
          <w:lang w:val="en-GB"/>
        </w:rPr>
        <w:t>BU</w:t>
      </w:r>
      <w:r w:rsidRPr="00C243CD">
        <w:rPr>
          <w:rFonts w:ascii="Cambria" w:hAnsi="Cambria"/>
          <w:lang w:val="en-GB"/>
        </w:rPr>
        <w:tab/>
        <w:t>Banking Union</w:t>
      </w:r>
    </w:p>
    <w:p w14:paraId="0AC81C0D"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CMG</w:t>
      </w:r>
      <w:r w:rsidRPr="00C243CD">
        <w:rPr>
          <w:rFonts w:ascii="Cambria" w:hAnsi="Cambria"/>
          <w:lang w:val="en-GB"/>
        </w:rPr>
        <w:tab/>
        <w:t>Crisis Management Group</w:t>
      </w:r>
    </w:p>
    <w:p w14:paraId="39E8D9EB"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COREP</w:t>
      </w:r>
      <w:r w:rsidRPr="00C243CD">
        <w:rPr>
          <w:rFonts w:ascii="Cambria" w:hAnsi="Cambria"/>
          <w:lang w:val="en-GB"/>
        </w:rPr>
        <w:tab/>
        <w:t>Common Reporting framework</w:t>
      </w:r>
    </w:p>
    <w:p w14:paraId="34FCD2E1"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CRD</w:t>
      </w:r>
      <w:r w:rsidRPr="00C243CD">
        <w:rPr>
          <w:rFonts w:ascii="Cambria" w:hAnsi="Cambria"/>
          <w:lang w:val="en-GB"/>
        </w:rPr>
        <w:tab/>
        <w:t>Directive 2013/36/EU of the European Parliament and of the Council of 26 June 2013 on access to the activity of credit institutions and the prudential supervision of credit institutions and investment firms</w:t>
      </w:r>
    </w:p>
    <w:p w14:paraId="6232D8A7"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CRR</w:t>
      </w:r>
      <w:r w:rsidRPr="00C243CD">
        <w:rPr>
          <w:rFonts w:ascii="Cambria" w:hAnsi="Cambria"/>
          <w:lang w:val="en-GB"/>
        </w:rPr>
        <w:tab/>
        <w:t>Regulation (EU) No 575/2013 of the European Parliament and of the Council of 26 June 2013 on prudential requirements for credit institutions and investment firms</w:t>
      </w:r>
    </w:p>
    <w:p w14:paraId="53AE737B" w14:textId="1FC8B0A8" w:rsidR="002D6809" w:rsidRPr="00C243CD" w:rsidRDefault="002D6809" w:rsidP="003234B7">
      <w:pPr>
        <w:tabs>
          <w:tab w:val="left" w:pos="1418"/>
        </w:tabs>
        <w:ind w:left="1418" w:hanging="1418"/>
        <w:rPr>
          <w:rFonts w:ascii="Cambria" w:hAnsi="Cambria"/>
          <w:lang w:val="en-GB"/>
        </w:rPr>
      </w:pPr>
      <w:r w:rsidRPr="00C243CD">
        <w:rPr>
          <w:rFonts w:ascii="Cambria" w:hAnsi="Cambria"/>
          <w:lang w:val="en-GB"/>
        </w:rPr>
        <w:t>CSD</w:t>
      </w:r>
      <w:r w:rsidRPr="00C243CD">
        <w:rPr>
          <w:rFonts w:ascii="Cambria" w:hAnsi="Cambria"/>
          <w:lang w:val="en-GB"/>
        </w:rPr>
        <w:tab/>
      </w:r>
      <w:r w:rsidR="00906730">
        <w:rPr>
          <w:rFonts w:ascii="Cambria" w:hAnsi="Cambria"/>
          <w:lang w:val="en-GB"/>
        </w:rPr>
        <w:t>Central Securities Depository</w:t>
      </w:r>
    </w:p>
    <w:p w14:paraId="66911657"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DGS</w:t>
      </w:r>
      <w:r w:rsidRPr="00C243CD">
        <w:rPr>
          <w:rFonts w:ascii="Cambria" w:hAnsi="Cambria"/>
          <w:lang w:val="en-GB"/>
        </w:rPr>
        <w:tab/>
        <w:t>Deposit Guarantee Scheme</w:t>
      </w:r>
    </w:p>
    <w:p w14:paraId="6712ED95"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DGSD</w:t>
      </w:r>
      <w:r w:rsidRPr="00C243CD">
        <w:rPr>
          <w:rFonts w:ascii="Cambria" w:hAnsi="Cambria"/>
          <w:lang w:val="en-GB"/>
        </w:rPr>
        <w:tab/>
        <w:t>Directive 2014/49/EU of the European Parliament and of the Council of 16 April 2014 on deposit guarantee schemes</w:t>
      </w:r>
    </w:p>
    <w:p w14:paraId="5C314F22"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EBA</w:t>
      </w:r>
      <w:r w:rsidRPr="00C243CD">
        <w:rPr>
          <w:rFonts w:ascii="Cambria" w:hAnsi="Cambria"/>
          <w:lang w:val="en-GB"/>
        </w:rPr>
        <w:tab/>
        <w:t>European Banking Authority</w:t>
      </w:r>
    </w:p>
    <w:p w14:paraId="6AB5BBAB"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ECB</w:t>
      </w:r>
      <w:r w:rsidRPr="00C243CD">
        <w:rPr>
          <w:rFonts w:ascii="Cambria" w:hAnsi="Cambria"/>
          <w:lang w:val="en-GB"/>
        </w:rPr>
        <w:tab/>
        <w:t>European Central Bank</w:t>
      </w:r>
    </w:p>
    <w:p w14:paraId="58ED73AC" w14:textId="77777777" w:rsidR="002D6809" w:rsidRPr="00C243CD" w:rsidRDefault="002D6809" w:rsidP="009474F1">
      <w:pPr>
        <w:pStyle w:val="Default"/>
        <w:spacing w:line="276" w:lineRule="auto"/>
        <w:ind w:left="1410" w:hanging="1410"/>
        <w:rPr>
          <w:rFonts w:ascii="Cambria" w:hAnsi="Cambria"/>
          <w:color w:val="auto"/>
          <w:sz w:val="20"/>
          <w:szCs w:val="22"/>
          <w:lang w:eastAsia="en-US"/>
        </w:rPr>
      </w:pPr>
      <w:r w:rsidRPr="00C243CD">
        <w:rPr>
          <w:rFonts w:ascii="Cambria" w:hAnsi="Cambria"/>
          <w:sz w:val="20"/>
          <w:szCs w:val="22"/>
        </w:rPr>
        <w:t>EMIR</w:t>
      </w:r>
      <w:r w:rsidRPr="00C243CD">
        <w:rPr>
          <w:rFonts w:ascii="Cambria" w:hAnsi="Cambria"/>
          <w:sz w:val="20"/>
          <w:szCs w:val="22"/>
        </w:rPr>
        <w:tab/>
      </w:r>
      <w:r w:rsidRPr="00C243CD">
        <w:rPr>
          <w:rFonts w:ascii="Cambria" w:hAnsi="Cambria"/>
          <w:sz w:val="20"/>
          <w:szCs w:val="22"/>
        </w:rPr>
        <w:tab/>
        <w:t xml:space="preserve">European Market Infrastructure Regulation n° 648/2012 </w:t>
      </w:r>
      <w:r w:rsidRPr="00C243CD">
        <w:rPr>
          <w:rFonts w:ascii="Cambria" w:hAnsi="Cambria"/>
          <w:color w:val="auto"/>
          <w:sz w:val="20"/>
          <w:szCs w:val="22"/>
          <w:lang w:eastAsia="en-US"/>
        </w:rPr>
        <w:t>on OTC derivatives, central counterparties and trade repositories</w:t>
      </w:r>
    </w:p>
    <w:p w14:paraId="287B848C"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ESRB</w:t>
      </w:r>
      <w:r w:rsidRPr="00C243CD">
        <w:rPr>
          <w:rFonts w:ascii="Cambria" w:hAnsi="Cambria"/>
          <w:lang w:val="en-GB"/>
        </w:rPr>
        <w:tab/>
        <w:t>European Systemic Risk Board</w:t>
      </w:r>
    </w:p>
    <w:p w14:paraId="2598BA64"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EU</w:t>
      </w:r>
      <w:r w:rsidRPr="00C243CD">
        <w:rPr>
          <w:rFonts w:ascii="Cambria" w:hAnsi="Cambria"/>
          <w:lang w:val="en-GB"/>
        </w:rPr>
        <w:tab/>
        <w:t>European Union</w:t>
      </w:r>
    </w:p>
    <w:p w14:paraId="6F334566"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EUR</w:t>
      </w:r>
      <w:r w:rsidRPr="00C243CD">
        <w:rPr>
          <w:rFonts w:ascii="Cambria" w:hAnsi="Cambria"/>
          <w:lang w:val="en-GB"/>
        </w:rPr>
        <w:tab/>
        <w:t>Euro</w:t>
      </w:r>
    </w:p>
    <w:p w14:paraId="1CFA474D"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FINREP</w:t>
      </w:r>
      <w:r w:rsidRPr="00C243CD">
        <w:rPr>
          <w:rFonts w:ascii="Cambria" w:hAnsi="Cambria"/>
          <w:lang w:val="en-GB"/>
        </w:rPr>
        <w:tab/>
        <w:t>Framework for consolidated Financial Reporting</w:t>
      </w:r>
    </w:p>
    <w:p w14:paraId="488E2884"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G-SII</w:t>
      </w:r>
      <w:r w:rsidRPr="00C243CD">
        <w:rPr>
          <w:rFonts w:ascii="Cambria" w:hAnsi="Cambria"/>
          <w:lang w:val="en-GB"/>
        </w:rPr>
        <w:tab/>
        <w:t>Global Systemically Important Institution</w:t>
      </w:r>
    </w:p>
    <w:p w14:paraId="10B53E1A" w14:textId="77777777" w:rsidR="009202A4" w:rsidRPr="00C243CD" w:rsidRDefault="009202A4" w:rsidP="009474F1">
      <w:pPr>
        <w:tabs>
          <w:tab w:val="left" w:pos="1418"/>
        </w:tabs>
        <w:ind w:left="1418" w:hanging="1418"/>
        <w:rPr>
          <w:rFonts w:ascii="Cambria" w:hAnsi="Cambria"/>
          <w:lang w:val="en-GB"/>
        </w:rPr>
      </w:pPr>
      <w:r w:rsidRPr="00C243CD">
        <w:rPr>
          <w:rFonts w:ascii="Cambria" w:hAnsi="Cambria"/>
          <w:lang w:val="en-GB"/>
        </w:rPr>
        <w:t>GLRA</w:t>
      </w:r>
      <w:r w:rsidRPr="00C243CD">
        <w:rPr>
          <w:rFonts w:ascii="Cambria" w:hAnsi="Cambria"/>
          <w:lang w:val="en-GB"/>
        </w:rPr>
        <w:tab/>
        <w:t>Group-Level Resolution Authority</w:t>
      </w:r>
    </w:p>
    <w:p w14:paraId="141C1F60"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GMNA</w:t>
      </w:r>
      <w:r w:rsidRPr="00C243CD">
        <w:rPr>
          <w:rFonts w:ascii="Cambria" w:hAnsi="Cambria"/>
          <w:lang w:val="en-GB"/>
        </w:rPr>
        <w:tab/>
        <w:t>Global Master Netting Agreement</w:t>
      </w:r>
    </w:p>
    <w:p w14:paraId="15EC54A2"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GMRA</w:t>
      </w:r>
      <w:r w:rsidRPr="00C243CD">
        <w:rPr>
          <w:rFonts w:ascii="Cambria" w:hAnsi="Cambria"/>
          <w:lang w:val="en-GB"/>
        </w:rPr>
        <w:tab/>
        <w:t>Global Master Refinancing Agreement</w:t>
      </w:r>
    </w:p>
    <w:p w14:paraId="26778B84"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ICMA</w:t>
      </w:r>
      <w:r w:rsidRPr="00C243CD">
        <w:rPr>
          <w:rFonts w:ascii="Cambria" w:hAnsi="Cambria"/>
          <w:lang w:val="en-GB"/>
        </w:rPr>
        <w:tab/>
        <w:t>International Capital Market Association</w:t>
      </w:r>
    </w:p>
    <w:p w14:paraId="5330176D"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IFRS</w:t>
      </w:r>
      <w:r w:rsidRPr="00C243CD">
        <w:rPr>
          <w:rFonts w:ascii="Cambria" w:hAnsi="Cambria"/>
          <w:lang w:val="en-GB"/>
        </w:rPr>
        <w:tab/>
        <w:t>International Financial Reporting Standards</w:t>
      </w:r>
    </w:p>
    <w:p w14:paraId="76FF8D95" w14:textId="77777777" w:rsidR="001E0FFC" w:rsidRPr="00C243CD" w:rsidRDefault="001E0FFC" w:rsidP="009474F1">
      <w:pPr>
        <w:tabs>
          <w:tab w:val="left" w:pos="1418"/>
        </w:tabs>
        <w:ind w:left="1418" w:hanging="1418"/>
        <w:rPr>
          <w:rFonts w:ascii="Cambria" w:hAnsi="Cambria"/>
          <w:lang w:val="en-GB"/>
        </w:rPr>
      </w:pPr>
      <w:r w:rsidRPr="00C243CD">
        <w:rPr>
          <w:rFonts w:ascii="Cambria" w:hAnsi="Cambria"/>
          <w:lang w:val="en-GB"/>
        </w:rPr>
        <w:t>IRT</w:t>
      </w:r>
      <w:r w:rsidRPr="00C243CD">
        <w:rPr>
          <w:rFonts w:ascii="Cambria" w:hAnsi="Cambria"/>
          <w:lang w:val="en-GB"/>
        </w:rPr>
        <w:tab/>
        <w:t>Internal Resolution Team</w:t>
      </w:r>
    </w:p>
    <w:p w14:paraId="44E776ED"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ISDA</w:t>
      </w:r>
      <w:r w:rsidRPr="00C243CD">
        <w:rPr>
          <w:rFonts w:ascii="Cambria" w:hAnsi="Cambria"/>
          <w:lang w:val="en-GB"/>
        </w:rPr>
        <w:tab/>
        <w:t>International Swaps and Derivatives Association</w:t>
      </w:r>
    </w:p>
    <w:p w14:paraId="7ECA4E37"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ISIN</w:t>
      </w:r>
      <w:r w:rsidRPr="00C243CD">
        <w:rPr>
          <w:rFonts w:ascii="Cambria" w:hAnsi="Cambria"/>
          <w:lang w:val="en-GB"/>
        </w:rPr>
        <w:tab/>
        <w:t>International Securities Identification Number</w:t>
      </w:r>
    </w:p>
    <w:p w14:paraId="3227984E"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ISO</w:t>
      </w:r>
      <w:r w:rsidRPr="00C243CD">
        <w:rPr>
          <w:rFonts w:ascii="Cambria" w:hAnsi="Cambria"/>
          <w:lang w:val="en-GB"/>
        </w:rPr>
        <w:tab/>
        <w:t>International Organization for Standardization</w:t>
      </w:r>
    </w:p>
    <w:p w14:paraId="340AB9C9" w14:textId="77777777" w:rsidR="008A586C" w:rsidRPr="00C243CD" w:rsidRDefault="008A586C" w:rsidP="009474F1">
      <w:pPr>
        <w:tabs>
          <w:tab w:val="left" w:pos="1418"/>
        </w:tabs>
        <w:ind w:left="1418" w:hanging="1418"/>
        <w:rPr>
          <w:rFonts w:ascii="Cambria" w:hAnsi="Cambria"/>
          <w:lang w:val="en-GB"/>
        </w:rPr>
      </w:pPr>
      <w:r w:rsidRPr="00C243CD">
        <w:rPr>
          <w:rFonts w:ascii="Cambria" w:hAnsi="Cambria"/>
          <w:lang w:val="en-GB"/>
        </w:rPr>
        <w:t>ITS</w:t>
      </w:r>
      <w:r w:rsidRPr="00C243CD">
        <w:rPr>
          <w:rFonts w:ascii="Cambria" w:hAnsi="Cambria"/>
          <w:lang w:val="en-GB"/>
        </w:rPr>
        <w:tab/>
        <w:t>Implementing Technical Standards</w:t>
      </w:r>
    </w:p>
    <w:p w14:paraId="1A861882"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LDR</w:t>
      </w:r>
      <w:r w:rsidRPr="00C243CD">
        <w:rPr>
          <w:rFonts w:ascii="Cambria" w:hAnsi="Cambria"/>
          <w:lang w:val="en-GB"/>
        </w:rPr>
        <w:tab/>
        <w:t>Liability Data Report</w:t>
      </w:r>
    </w:p>
    <w:p w14:paraId="2566E774"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LEI</w:t>
      </w:r>
      <w:r w:rsidRPr="00C243CD">
        <w:rPr>
          <w:rFonts w:ascii="Cambria" w:hAnsi="Cambria"/>
          <w:lang w:val="en-GB"/>
        </w:rPr>
        <w:tab/>
        <w:t>Legal Entity Identifier</w:t>
      </w:r>
    </w:p>
    <w:p w14:paraId="77CA17C4"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LTRO</w:t>
      </w:r>
      <w:r w:rsidRPr="00C243CD">
        <w:rPr>
          <w:rFonts w:ascii="Cambria" w:hAnsi="Cambria"/>
          <w:lang w:val="en-GB"/>
        </w:rPr>
        <w:tab/>
        <w:t>Longer-Term Refinancing Operations</w:t>
      </w:r>
    </w:p>
    <w:p w14:paraId="1EFEB71C"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MA</w:t>
      </w:r>
      <w:r w:rsidRPr="00C243CD">
        <w:rPr>
          <w:rFonts w:ascii="Cambria" w:hAnsi="Cambria"/>
          <w:lang w:val="en-GB"/>
        </w:rPr>
        <w:tab/>
        <w:t>Master Agreement</w:t>
      </w:r>
    </w:p>
    <w:p w14:paraId="2CC37F38" w14:textId="77777777" w:rsidR="003D6E95" w:rsidRPr="00C243CD" w:rsidRDefault="003D6E95" w:rsidP="003D6E95">
      <w:pPr>
        <w:tabs>
          <w:tab w:val="left" w:pos="1418"/>
        </w:tabs>
        <w:ind w:left="1418" w:hanging="1418"/>
        <w:rPr>
          <w:rFonts w:ascii="Cambria" w:hAnsi="Cambria"/>
          <w:lang w:val="en-GB"/>
        </w:rPr>
      </w:pPr>
      <w:r w:rsidRPr="00C243CD">
        <w:rPr>
          <w:rFonts w:ascii="Cambria" w:hAnsi="Cambria"/>
          <w:lang w:val="en-GB"/>
        </w:rPr>
        <w:lastRenderedPageBreak/>
        <w:t>MAC</w:t>
      </w:r>
      <w:r w:rsidRPr="00C243CD">
        <w:rPr>
          <w:rFonts w:ascii="Cambria" w:hAnsi="Cambria"/>
          <w:lang w:val="en-GB"/>
        </w:rPr>
        <w:tab/>
        <w:t>Material Adverse Change</w:t>
      </w:r>
    </w:p>
    <w:p w14:paraId="62F45D36"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MFI</w:t>
      </w:r>
      <w:r w:rsidRPr="00C243CD">
        <w:rPr>
          <w:rFonts w:ascii="Cambria" w:hAnsi="Cambria"/>
          <w:lang w:val="en-GB"/>
        </w:rPr>
        <w:tab/>
        <w:t>Monetary Financial Institutions unique IDentifier</w:t>
      </w:r>
    </w:p>
    <w:p w14:paraId="53A8C099" w14:textId="77777777" w:rsidR="003D6E95" w:rsidRPr="00C243CD" w:rsidRDefault="003D6E95" w:rsidP="003D6E95">
      <w:pPr>
        <w:tabs>
          <w:tab w:val="left" w:pos="1418"/>
        </w:tabs>
        <w:ind w:left="1418" w:hanging="1418"/>
        <w:rPr>
          <w:rFonts w:ascii="Cambria" w:hAnsi="Cambria"/>
          <w:lang w:val="en-GB"/>
        </w:rPr>
      </w:pPr>
      <w:r w:rsidRPr="00C243CD">
        <w:rPr>
          <w:rFonts w:ascii="Cambria" w:hAnsi="Cambria"/>
          <w:lang w:val="en-GB"/>
        </w:rPr>
        <w:t>MREL</w:t>
      </w:r>
      <w:r w:rsidRPr="00C243CD">
        <w:rPr>
          <w:rFonts w:ascii="Cambria" w:hAnsi="Cambria"/>
          <w:lang w:val="en-GB"/>
        </w:rPr>
        <w:tab/>
        <w:t>Minimum requirement for own funds and eligible liabilities</w:t>
      </w:r>
    </w:p>
    <w:p w14:paraId="0BF1A193" w14:textId="77777777" w:rsidR="003D6E95" w:rsidRPr="00C243CD" w:rsidRDefault="003D6E95" w:rsidP="003D6E95">
      <w:pPr>
        <w:tabs>
          <w:tab w:val="left" w:pos="1418"/>
        </w:tabs>
        <w:ind w:left="1418" w:hanging="1418"/>
        <w:rPr>
          <w:rFonts w:ascii="Cambria" w:hAnsi="Cambria"/>
          <w:lang w:val="en-GB"/>
        </w:rPr>
      </w:pPr>
      <w:r w:rsidRPr="00C243CD">
        <w:rPr>
          <w:rFonts w:ascii="Cambria" w:hAnsi="Cambria"/>
          <w:lang w:val="en-GB"/>
        </w:rPr>
        <w:t>MRO</w:t>
      </w:r>
      <w:r w:rsidRPr="00C243CD">
        <w:rPr>
          <w:rFonts w:ascii="Cambria" w:hAnsi="Cambria"/>
          <w:lang w:val="en-GB"/>
        </w:rPr>
        <w:tab/>
        <w:t>Main Refinancing Operations</w:t>
      </w:r>
    </w:p>
    <w:p w14:paraId="4FD03EC5"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NCWO</w:t>
      </w:r>
      <w:r w:rsidRPr="00C243CD">
        <w:rPr>
          <w:rFonts w:ascii="Cambria" w:hAnsi="Cambria"/>
          <w:lang w:val="en-GB"/>
        </w:rPr>
        <w:tab/>
        <w:t>No Creditor Worse Off</w:t>
      </w:r>
    </w:p>
    <w:p w14:paraId="0304F884"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NGAAP</w:t>
      </w:r>
      <w:r w:rsidRPr="00C243CD">
        <w:rPr>
          <w:rFonts w:ascii="Cambria" w:hAnsi="Cambria"/>
          <w:lang w:val="en-GB"/>
        </w:rPr>
        <w:tab/>
        <w:t>National Generally Accepted Accounting Principles</w:t>
      </w:r>
    </w:p>
    <w:p w14:paraId="70BE9779"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NRA</w:t>
      </w:r>
      <w:r w:rsidRPr="00C243CD">
        <w:rPr>
          <w:rFonts w:ascii="Cambria" w:hAnsi="Cambria"/>
          <w:lang w:val="en-GB"/>
        </w:rPr>
        <w:tab/>
        <w:t>National Resolution Authority</w:t>
      </w:r>
    </w:p>
    <w:p w14:paraId="5AC5EDA6"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O-SII</w:t>
      </w:r>
      <w:r w:rsidRPr="00C243CD">
        <w:rPr>
          <w:rFonts w:ascii="Cambria" w:hAnsi="Cambria"/>
          <w:lang w:val="en-GB"/>
        </w:rPr>
        <w:tab/>
        <w:t>Other Systemically Important Institution</w:t>
      </w:r>
    </w:p>
    <w:p w14:paraId="763AF169" w14:textId="77777777" w:rsidR="00040512" w:rsidRPr="00C243CD" w:rsidRDefault="00040512" w:rsidP="009474F1">
      <w:pPr>
        <w:tabs>
          <w:tab w:val="left" w:pos="1418"/>
        </w:tabs>
        <w:ind w:left="1418" w:hanging="1418"/>
        <w:rPr>
          <w:rFonts w:ascii="Cambria" w:hAnsi="Cambria"/>
          <w:lang w:val="en-GB"/>
        </w:rPr>
      </w:pPr>
      <w:r w:rsidRPr="00C243CD">
        <w:rPr>
          <w:rFonts w:ascii="Cambria" w:hAnsi="Cambria"/>
          <w:lang w:val="en-GB"/>
        </w:rPr>
        <w:t>POE</w:t>
      </w:r>
      <w:r w:rsidRPr="00C243CD">
        <w:rPr>
          <w:rFonts w:ascii="Cambria" w:hAnsi="Cambria"/>
          <w:lang w:val="en-GB"/>
        </w:rPr>
        <w:tab/>
        <w:t>Point Of Entry</w:t>
      </w:r>
    </w:p>
    <w:p w14:paraId="4E4C4FDD" w14:textId="77777777" w:rsidR="001E0FFC" w:rsidRPr="00C243CD" w:rsidRDefault="001E0FFC" w:rsidP="009474F1">
      <w:pPr>
        <w:tabs>
          <w:tab w:val="left" w:pos="1418"/>
        </w:tabs>
        <w:ind w:left="1418" w:hanging="1418"/>
        <w:rPr>
          <w:rFonts w:ascii="Cambria" w:hAnsi="Cambria"/>
          <w:lang w:val="en-GB"/>
        </w:rPr>
      </w:pPr>
      <w:r w:rsidRPr="00C243CD">
        <w:rPr>
          <w:rFonts w:ascii="Cambria" w:hAnsi="Cambria"/>
          <w:lang w:val="en-GB"/>
        </w:rPr>
        <w:t>PRS</w:t>
      </w:r>
      <w:r w:rsidRPr="00C243CD">
        <w:rPr>
          <w:rFonts w:ascii="Cambria" w:hAnsi="Cambria"/>
          <w:lang w:val="en-GB"/>
        </w:rPr>
        <w:tab/>
        <w:t>Preferred Resolution Strategy</w:t>
      </w:r>
    </w:p>
    <w:p w14:paraId="60A0C1E7" w14:textId="77777777" w:rsidR="003D6E95" w:rsidRPr="00C243CD" w:rsidRDefault="003D6E95" w:rsidP="003D6E95">
      <w:pPr>
        <w:tabs>
          <w:tab w:val="left" w:pos="1418"/>
        </w:tabs>
        <w:ind w:left="1418" w:hanging="1418"/>
        <w:rPr>
          <w:rFonts w:ascii="Cambria" w:hAnsi="Cambria"/>
          <w:lang w:val="en-GB"/>
        </w:rPr>
      </w:pPr>
      <w:r w:rsidRPr="00C243CD">
        <w:rPr>
          <w:rFonts w:ascii="Cambria" w:hAnsi="Cambria"/>
          <w:lang w:val="en-GB"/>
        </w:rPr>
        <w:t>RIAD</w:t>
      </w:r>
      <w:r w:rsidRPr="00C243CD">
        <w:rPr>
          <w:rFonts w:ascii="Cambria" w:hAnsi="Cambria"/>
          <w:lang w:val="en-GB"/>
        </w:rPr>
        <w:tab/>
        <w:t>Register of Institutions and Affiliates Database</w:t>
      </w:r>
    </w:p>
    <w:p w14:paraId="123B94FC" w14:textId="77777777" w:rsidR="003D6E95" w:rsidRPr="00C243CD" w:rsidRDefault="003D6E95" w:rsidP="003D6E95">
      <w:pPr>
        <w:tabs>
          <w:tab w:val="left" w:pos="1418"/>
        </w:tabs>
        <w:ind w:left="1418" w:hanging="1418"/>
        <w:rPr>
          <w:rFonts w:ascii="Cambria" w:hAnsi="Cambria"/>
          <w:lang w:val="en-GB"/>
        </w:rPr>
      </w:pPr>
      <w:r w:rsidRPr="00C243CD">
        <w:rPr>
          <w:rFonts w:ascii="Cambria" w:hAnsi="Cambria"/>
          <w:lang w:val="en-GB"/>
        </w:rPr>
        <w:t>RLE</w:t>
      </w:r>
      <w:r w:rsidRPr="00C243CD">
        <w:rPr>
          <w:rFonts w:ascii="Cambria" w:hAnsi="Cambria"/>
          <w:lang w:val="en-GB"/>
        </w:rPr>
        <w:tab/>
        <w:t>Relevant Legal Entity</w:t>
      </w:r>
    </w:p>
    <w:p w14:paraId="12CF47C3"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RTS</w:t>
      </w:r>
      <w:r w:rsidRPr="00C243CD">
        <w:rPr>
          <w:rFonts w:ascii="Cambria" w:hAnsi="Cambria"/>
          <w:lang w:val="en-GB"/>
        </w:rPr>
        <w:tab/>
        <w:t>Regulatory Technical Standards</w:t>
      </w:r>
    </w:p>
    <w:p w14:paraId="585A3F1D" w14:textId="702F48F7" w:rsidR="00906730" w:rsidRDefault="00906730" w:rsidP="003234B7">
      <w:pPr>
        <w:tabs>
          <w:tab w:val="left" w:pos="1418"/>
        </w:tabs>
        <w:ind w:left="1418" w:hanging="1418"/>
        <w:rPr>
          <w:rFonts w:ascii="Cambria" w:hAnsi="Cambria"/>
          <w:lang w:val="en-GB"/>
        </w:rPr>
      </w:pPr>
      <w:r>
        <w:rPr>
          <w:rFonts w:ascii="Cambria" w:hAnsi="Cambria"/>
          <w:lang w:val="en-GB"/>
        </w:rPr>
        <w:t>SFD</w:t>
      </w:r>
      <w:r>
        <w:rPr>
          <w:rFonts w:ascii="Cambria" w:hAnsi="Cambria"/>
          <w:lang w:val="en-GB"/>
        </w:rPr>
        <w:tab/>
      </w:r>
      <w:r w:rsidRPr="00906730">
        <w:rPr>
          <w:rFonts w:ascii="Cambria" w:hAnsi="Cambria"/>
          <w:lang w:val="en-GB"/>
        </w:rPr>
        <w:t>Settlement Finality Directive</w:t>
      </w:r>
      <w:r w:rsidR="003234B7">
        <w:rPr>
          <w:rFonts w:ascii="Cambria" w:hAnsi="Cambria"/>
          <w:lang w:val="en-GB"/>
        </w:rPr>
        <w:t xml:space="preserve"> - </w:t>
      </w:r>
      <w:r w:rsidR="003234B7" w:rsidRPr="00C243CD">
        <w:rPr>
          <w:rFonts w:ascii="Cambria" w:hAnsi="Cambria"/>
          <w:lang w:val="en-GB"/>
        </w:rPr>
        <w:t>Directive 98/26/EC of the European Parliament and of the Council of 19 May 1998 on settlement finality in payment and securities settlement systems</w:t>
      </w:r>
    </w:p>
    <w:p w14:paraId="3500D0DE" w14:textId="74E6E132"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SME</w:t>
      </w:r>
      <w:r w:rsidRPr="00C243CD">
        <w:rPr>
          <w:rFonts w:ascii="Cambria" w:hAnsi="Cambria"/>
          <w:lang w:val="en-GB"/>
        </w:rPr>
        <w:tab/>
        <w:t>Small and Medium-sized Enterprise</w:t>
      </w:r>
    </w:p>
    <w:p w14:paraId="7B59A3FF"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SRB</w:t>
      </w:r>
      <w:r w:rsidRPr="00C243CD">
        <w:rPr>
          <w:rFonts w:ascii="Cambria" w:hAnsi="Cambria"/>
          <w:lang w:val="en-GB"/>
        </w:rPr>
        <w:tab/>
        <w:t>Single Resolution Board</w:t>
      </w:r>
    </w:p>
    <w:p w14:paraId="38F55530"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SREP</w:t>
      </w:r>
      <w:r w:rsidRPr="00C243CD">
        <w:rPr>
          <w:rFonts w:ascii="Cambria" w:hAnsi="Cambria"/>
          <w:lang w:val="en-GB"/>
        </w:rPr>
        <w:tab/>
        <w:t>Supervisory Review Process</w:t>
      </w:r>
    </w:p>
    <w:p w14:paraId="36D1ED7A" w14:textId="77777777" w:rsidR="003D6E95" w:rsidRPr="00C243CD" w:rsidRDefault="003D6E95" w:rsidP="003D6E95">
      <w:pPr>
        <w:tabs>
          <w:tab w:val="left" w:pos="1418"/>
        </w:tabs>
        <w:ind w:left="1418" w:hanging="1418"/>
        <w:rPr>
          <w:rFonts w:ascii="Cambria" w:hAnsi="Cambria"/>
          <w:lang w:val="en-GB"/>
        </w:rPr>
      </w:pPr>
      <w:r w:rsidRPr="00C243CD">
        <w:rPr>
          <w:rFonts w:ascii="Cambria" w:hAnsi="Cambria"/>
          <w:lang w:val="en-GB"/>
        </w:rPr>
        <w:t>SRF</w:t>
      </w:r>
      <w:r w:rsidRPr="00C243CD">
        <w:rPr>
          <w:rFonts w:ascii="Cambria" w:hAnsi="Cambria"/>
          <w:lang w:val="en-GB"/>
        </w:rPr>
        <w:tab/>
        <w:t>Single Resolution Fund</w:t>
      </w:r>
    </w:p>
    <w:p w14:paraId="2E902F66"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SRMR</w:t>
      </w:r>
      <w:r w:rsidRPr="00C243CD">
        <w:rPr>
          <w:rFonts w:ascii="Cambria" w:hAnsi="Cambria"/>
          <w:lang w:val="en-GB"/>
        </w:rPr>
        <w:tab/>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w:t>
      </w:r>
    </w:p>
    <w:p w14:paraId="60991521" w14:textId="76EADE4F" w:rsidR="00906730" w:rsidRDefault="00906730" w:rsidP="009474F1">
      <w:pPr>
        <w:tabs>
          <w:tab w:val="left" w:pos="1418"/>
        </w:tabs>
        <w:ind w:left="1418" w:hanging="1418"/>
        <w:rPr>
          <w:rFonts w:ascii="Cambria" w:hAnsi="Cambria"/>
          <w:lang w:val="en-GB"/>
        </w:rPr>
      </w:pPr>
      <w:r>
        <w:rPr>
          <w:rFonts w:ascii="Cambria" w:hAnsi="Cambria"/>
          <w:lang w:val="en-GB"/>
        </w:rPr>
        <w:t>SSS</w:t>
      </w:r>
      <w:r>
        <w:rPr>
          <w:rFonts w:ascii="Cambria" w:hAnsi="Cambria"/>
          <w:lang w:val="en-GB"/>
        </w:rPr>
        <w:tab/>
      </w:r>
      <w:r w:rsidRPr="00906730">
        <w:rPr>
          <w:rFonts w:ascii="Cambria" w:hAnsi="Cambria"/>
          <w:lang w:val="en-GB"/>
        </w:rPr>
        <w:t xml:space="preserve">Securities Settlement System </w:t>
      </w:r>
    </w:p>
    <w:p w14:paraId="6C7719DE" w14:textId="4E7B05C4" w:rsidR="003D6E95" w:rsidRPr="00C243CD" w:rsidRDefault="003D6E95" w:rsidP="009474F1">
      <w:pPr>
        <w:tabs>
          <w:tab w:val="left" w:pos="1418"/>
        </w:tabs>
        <w:ind w:left="1418" w:hanging="1418"/>
        <w:rPr>
          <w:rFonts w:ascii="Cambria" w:hAnsi="Cambria"/>
          <w:lang w:val="en-GB"/>
        </w:rPr>
      </w:pPr>
      <w:r w:rsidRPr="00C243CD">
        <w:rPr>
          <w:rFonts w:ascii="Cambria" w:hAnsi="Cambria"/>
          <w:lang w:val="en-GB"/>
        </w:rPr>
        <w:t>TARGET</w:t>
      </w:r>
      <w:r w:rsidRPr="00C243CD">
        <w:rPr>
          <w:rFonts w:ascii="Cambria" w:hAnsi="Cambria"/>
          <w:lang w:val="en-GB"/>
        </w:rPr>
        <w:tab/>
        <w:t>Trans-European Automated Real-time Gross settlement Express Transfer system</w:t>
      </w:r>
    </w:p>
    <w:p w14:paraId="3028543B"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TLAC</w:t>
      </w:r>
      <w:r w:rsidRPr="00C243CD">
        <w:rPr>
          <w:rFonts w:ascii="Cambria" w:hAnsi="Cambria"/>
          <w:lang w:val="en-GB"/>
        </w:rPr>
        <w:tab/>
        <w:t>Total Loss Absorbing Capacity</w:t>
      </w:r>
    </w:p>
    <w:p w14:paraId="16343B92"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TLTRO</w:t>
      </w:r>
      <w:r w:rsidRPr="00C243CD">
        <w:rPr>
          <w:rFonts w:ascii="Cambria" w:hAnsi="Cambria"/>
          <w:lang w:val="en-GB"/>
        </w:rPr>
        <w:tab/>
        <w:t>Targeted Longer-Term Refinancing Operations</w:t>
      </w:r>
    </w:p>
    <w:p w14:paraId="6CDE053C" w14:textId="77777777" w:rsidR="002D6809" w:rsidRPr="00C243CD" w:rsidRDefault="002D6809" w:rsidP="009474F1">
      <w:pPr>
        <w:tabs>
          <w:tab w:val="left" w:pos="1418"/>
        </w:tabs>
        <w:ind w:left="1418" w:hanging="1418"/>
        <w:rPr>
          <w:rFonts w:ascii="Cambria" w:hAnsi="Cambria"/>
          <w:lang w:val="en-GB"/>
        </w:rPr>
      </w:pPr>
      <w:r w:rsidRPr="00C243CD">
        <w:rPr>
          <w:rFonts w:ascii="Cambria" w:hAnsi="Cambria"/>
          <w:lang w:val="en-GB"/>
        </w:rPr>
        <w:t>UCITS</w:t>
      </w:r>
      <w:r w:rsidRPr="00C243CD">
        <w:rPr>
          <w:rFonts w:ascii="Cambria" w:hAnsi="Cambria"/>
          <w:lang w:val="en-GB"/>
        </w:rPr>
        <w:tab/>
        <w:t>Directive 2009/65/EC of the European Parliament and of the Council of 13 July 2009 on the coordination of laws, regulations and administrative provisions relating to undertakings for collective investment in transferable securities</w:t>
      </w:r>
    </w:p>
    <w:p w14:paraId="1C7BCDA7"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USD</w:t>
      </w:r>
      <w:r w:rsidRPr="00C243CD">
        <w:rPr>
          <w:rFonts w:ascii="Cambria" w:hAnsi="Cambria"/>
          <w:lang w:val="en-GB"/>
        </w:rPr>
        <w:tab/>
        <w:t>US Dollar</w:t>
      </w:r>
    </w:p>
    <w:p w14:paraId="495D3783" w14:textId="4857432D" w:rsidR="005E419B" w:rsidRDefault="005E419B" w:rsidP="009474F1">
      <w:pPr>
        <w:tabs>
          <w:tab w:val="left" w:pos="1418"/>
        </w:tabs>
        <w:ind w:left="1418" w:hanging="1418"/>
        <w:rPr>
          <w:rFonts w:ascii="Cambria" w:hAnsi="Cambria"/>
          <w:lang w:val="en-GB"/>
        </w:rPr>
      </w:pPr>
      <w:r>
        <w:rPr>
          <w:rFonts w:ascii="Cambria" w:hAnsi="Cambria"/>
          <w:lang w:val="en-GB"/>
        </w:rPr>
        <w:t>XBRL</w:t>
      </w:r>
      <w:r>
        <w:rPr>
          <w:rFonts w:ascii="Cambria" w:hAnsi="Cambria"/>
          <w:lang w:val="en-GB"/>
        </w:rPr>
        <w:tab/>
      </w:r>
      <w:r w:rsidRPr="005E419B">
        <w:rPr>
          <w:rFonts w:ascii="Cambria" w:hAnsi="Cambria"/>
          <w:lang w:val="en-GB"/>
        </w:rPr>
        <w:t>eXtensible Business Reporting Language</w:t>
      </w:r>
    </w:p>
    <w:p w14:paraId="548D4713" w14:textId="77777777" w:rsidR="00563A05" w:rsidRPr="00C243CD" w:rsidRDefault="00563A05" w:rsidP="009474F1">
      <w:pPr>
        <w:tabs>
          <w:tab w:val="left" w:pos="1418"/>
        </w:tabs>
        <w:ind w:left="1418" w:hanging="1418"/>
        <w:rPr>
          <w:rFonts w:ascii="Cambria" w:hAnsi="Cambria"/>
          <w:lang w:val="en-GB"/>
        </w:rPr>
      </w:pPr>
      <w:r w:rsidRPr="00C243CD">
        <w:rPr>
          <w:rFonts w:ascii="Cambria" w:hAnsi="Cambria"/>
          <w:lang w:val="en-GB"/>
        </w:rPr>
        <w:t>XML</w:t>
      </w:r>
      <w:r w:rsidRPr="00C243CD">
        <w:rPr>
          <w:rFonts w:ascii="Cambria" w:hAnsi="Cambria"/>
          <w:lang w:val="en-GB"/>
        </w:rPr>
        <w:tab/>
        <w:t>eXtensible Markup Language</w:t>
      </w:r>
    </w:p>
    <w:p w14:paraId="4AEC81B6" w14:textId="77777777" w:rsidR="003D00B4" w:rsidRPr="00C243CD" w:rsidRDefault="003D00B4" w:rsidP="009474F1">
      <w:pPr>
        <w:rPr>
          <w:rFonts w:ascii="Cambria" w:hAnsi="Cambria"/>
          <w:lang w:val="en-GB"/>
        </w:rPr>
      </w:pPr>
      <w:r w:rsidRPr="00C243CD">
        <w:rPr>
          <w:rFonts w:ascii="Cambria" w:hAnsi="Cambria"/>
          <w:lang w:val="en-GB"/>
        </w:rPr>
        <w:br w:type="page"/>
      </w:r>
    </w:p>
    <w:p w14:paraId="6E390CD7" w14:textId="77777777" w:rsidR="003D00B4" w:rsidRPr="00C243CD" w:rsidRDefault="003D00B4" w:rsidP="009474F1">
      <w:pPr>
        <w:rPr>
          <w:rFonts w:ascii="Cambria" w:hAnsi="Cambria"/>
          <w:lang w:val="en-GB"/>
        </w:rPr>
        <w:sectPr w:rsidR="003D00B4" w:rsidRPr="00C243CD" w:rsidSect="00AC044E">
          <w:pgSz w:w="11906" w:h="16838"/>
          <w:pgMar w:top="2552" w:right="1440" w:bottom="1440" w:left="1440" w:header="708" w:footer="708" w:gutter="0"/>
          <w:cols w:space="708"/>
          <w:titlePg/>
          <w:docGrid w:linePitch="360"/>
        </w:sectPr>
      </w:pPr>
    </w:p>
    <w:p w14:paraId="00234D5E" w14:textId="77777777" w:rsidR="00473699" w:rsidRDefault="00473699" w:rsidP="00473699">
      <w:pPr>
        <w:pStyle w:val="Heading1"/>
        <w:rPr>
          <w:rFonts w:ascii="Cambria" w:hAnsi="Cambria"/>
          <w:lang w:val="en-GB"/>
        </w:rPr>
      </w:pPr>
    </w:p>
    <w:p w14:paraId="496EBB35" w14:textId="655BC82B" w:rsidR="00AD63F5" w:rsidRPr="00C243CD" w:rsidRDefault="00AD63F5" w:rsidP="00473699">
      <w:pPr>
        <w:pStyle w:val="Heading1"/>
        <w:rPr>
          <w:rFonts w:ascii="Cambria" w:hAnsi="Cambria"/>
          <w:lang w:val="en-GB"/>
        </w:rPr>
      </w:pPr>
      <w:bookmarkStart w:id="232" w:name="_Toc12973038"/>
      <w:bookmarkStart w:id="233" w:name="_Toc13755765"/>
      <w:r w:rsidRPr="00C243CD">
        <w:rPr>
          <w:rFonts w:ascii="Cambria" w:hAnsi="Cambria"/>
          <w:lang w:val="en-GB"/>
        </w:rPr>
        <w:t xml:space="preserve">Annex </w:t>
      </w:r>
      <w:r w:rsidR="00967E24" w:rsidRPr="00C243CD">
        <w:rPr>
          <w:rFonts w:ascii="Cambria" w:hAnsi="Cambria"/>
          <w:lang w:val="en-GB"/>
        </w:rPr>
        <w:t>2</w:t>
      </w:r>
      <w:r w:rsidR="00473699">
        <w:rPr>
          <w:rFonts w:ascii="Cambria" w:hAnsi="Cambria"/>
          <w:lang w:val="en-GB"/>
        </w:rPr>
        <w:t xml:space="preserve"> - </w:t>
      </w:r>
      <w:r w:rsidR="00040512" w:rsidRPr="00C243CD">
        <w:rPr>
          <w:rFonts w:ascii="Cambria" w:hAnsi="Cambria"/>
          <w:lang w:val="en-GB"/>
        </w:rPr>
        <w:t>Scope and modulated reporting example</w:t>
      </w:r>
      <w:bookmarkEnd w:id="232"/>
      <w:bookmarkEnd w:id="233"/>
    </w:p>
    <w:p w14:paraId="3810BF1D" w14:textId="77777777" w:rsidR="003912F0" w:rsidRPr="00C243CD" w:rsidRDefault="003912F0" w:rsidP="007025A8">
      <w:pPr>
        <w:rPr>
          <w:rFonts w:ascii="Cambria" w:hAnsi="Cambria"/>
          <w:lang w:val="en-GB"/>
        </w:rPr>
      </w:pPr>
    </w:p>
    <w:p w14:paraId="758093B9" w14:textId="77777777" w:rsidR="003912F0" w:rsidRPr="00C243CD" w:rsidRDefault="003912F0" w:rsidP="007025A8">
      <w:pPr>
        <w:rPr>
          <w:rFonts w:ascii="Cambria" w:hAnsi="Cambria"/>
          <w:lang w:val="en-GB"/>
        </w:rPr>
      </w:pPr>
      <w:r w:rsidRPr="00C243CD">
        <w:rPr>
          <w:rFonts w:ascii="Cambria" w:hAnsi="Cambria"/>
          <w:lang w:val="en-GB"/>
        </w:rPr>
        <w:t>The example in this annex provides a view on how the starting point of the reporting scope works in the case of a group, of which the legal structure is illustrated in below diagram.</w:t>
      </w:r>
    </w:p>
    <w:p w14:paraId="60B01864" w14:textId="77777777" w:rsidR="004D104F" w:rsidRPr="00C243CD" w:rsidRDefault="003912F0" w:rsidP="007025A8">
      <w:pPr>
        <w:rPr>
          <w:rFonts w:ascii="Cambria" w:hAnsi="Cambria"/>
          <w:lang w:val="en-GB"/>
        </w:rPr>
      </w:pPr>
      <w:r w:rsidRPr="00C243CD">
        <w:rPr>
          <w:rFonts w:ascii="Cambria" w:hAnsi="Cambria"/>
          <w:noProof/>
          <w:lang w:val="en-GB" w:eastAsia="en-GB"/>
        </w:rPr>
        <mc:AlternateContent>
          <mc:Choice Requires="wps">
            <w:drawing>
              <wp:anchor distT="0" distB="0" distL="114300" distR="114300" simplePos="0" relativeHeight="251658242" behindDoc="0" locked="0" layoutInCell="1" allowOverlap="1" wp14:anchorId="48092D4D" wp14:editId="231BCCB3">
                <wp:simplePos x="0" y="0"/>
                <wp:positionH relativeFrom="column">
                  <wp:posOffset>2830565</wp:posOffset>
                </wp:positionH>
                <wp:positionV relativeFrom="paragraph">
                  <wp:posOffset>1257132</wp:posOffset>
                </wp:positionV>
                <wp:extent cx="1427086" cy="23314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27086" cy="233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A7AD2" w14:textId="77777777" w:rsidR="002D45CF" w:rsidRPr="007025A8" w:rsidRDefault="002D45CF" w:rsidP="003912F0">
                            <w:pPr>
                              <w:rPr>
                                <w:color w:val="FF0000"/>
                                <w:sz w:val="16"/>
                              </w:rPr>
                            </w:pPr>
                            <w:r w:rsidRPr="007025A8">
                              <w:rPr>
                                <w:color w:val="FF0000"/>
                                <w:sz w:val="16"/>
                              </w:rPr>
                              <w:t xml:space="preserve">Resolution Group </w:t>
                            </w:r>
                            <w:r>
                              <w:rPr>
                                <w:color w:val="FF0000"/>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92D4D" id="Text Box 13" o:spid="_x0000_s1038" type="#_x0000_t202" style="position:absolute;left:0;text-align:left;margin-left:222.9pt;margin-top:99pt;width:112.35pt;height:18.3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" filled="f" stroked="f" strokeweight=".5pt">
                <v:textbox>
                  <w:txbxContent>
                    <w:p w14:paraId="6E6A7AD2" w14:textId="77777777" w:rsidR="002D45CF" w:rsidRPr="007025A8" w:rsidRDefault="002D45CF" w:rsidP="003912F0">
                      <w:pPr>
                        <w:rPr>
                          <w:color w:val="FF0000"/>
                          <w:sz w:val="16"/>
                        </w:rPr>
                      </w:pPr>
                      <w:r w:rsidRPr="007025A8">
                        <w:rPr>
                          <w:color w:val="FF0000"/>
                          <w:sz w:val="16"/>
                        </w:rPr>
                        <w:t xml:space="preserve">Resolution Group </w:t>
                      </w:r>
                      <w:r>
                        <w:rPr>
                          <w:color w:val="FF0000"/>
                          <w:sz w:val="16"/>
                        </w:rPr>
                        <w:t>3</w:t>
                      </w:r>
                    </w:p>
                  </w:txbxContent>
                </v:textbox>
              </v:shape>
            </w:pict>
          </mc:Fallback>
        </mc:AlternateContent>
      </w:r>
      <w:r w:rsidRPr="00C243CD">
        <w:rPr>
          <w:rFonts w:ascii="Cambria" w:hAnsi="Cambria"/>
          <w:noProof/>
          <w:lang w:val="en-GB" w:eastAsia="en-GB"/>
        </w:rPr>
        <mc:AlternateContent>
          <mc:Choice Requires="wps">
            <w:drawing>
              <wp:anchor distT="0" distB="0" distL="114300" distR="114300" simplePos="0" relativeHeight="251658241" behindDoc="0" locked="0" layoutInCell="1" allowOverlap="1" wp14:anchorId="7C88ADD0" wp14:editId="22810D02">
                <wp:simplePos x="0" y="0"/>
                <wp:positionH relativeFrom="column">
                  <wp:posOffset>2273377</wp:posOffset>
                </wp:positionH>
                <wp:positionV relativeFrom="paragraph">
                  <wp:posOffset>1430751</wp:posOffset>
                </wp:positionV>
                <wp:extent cx="1367353" cy="747137"/>
                <wp:effectExtent l="0" t="0" r="0" b="0"/>
                <wp:wrapNone/>
                <wp:docPr id="12" name="Rectangle 12"/>
                <wp:cNvGraphicFramePr/>
                <a:graphic xmlns:a="http://schemas.openxmlformats.org/drawingml/2006/main">
                  <a:graphicData uri="http://schemas.microsoft.com/office/word/2010/wordprocessingShape">
                    <wps:wsp>
                      <wps:cNvSpPr/>
                      <wps:spPr>
                        <a:xfrm>
                          <a:off x="0" y="0"/>
                          <a:ext cx="1367353" cy="74713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3EF2B" id="Rectangle 12" o:spid="_x0000_s1026" style="position:absolute;margin-left:179pt;margin-top:112.65pt;width:107.65pt;height:58.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" filled="f" strokecolor="red" strokeweight="1pt"/>
            </w:pict>
          </mc:Fallback>
        </mc:AlternateContent>
      </w:r>
      <w:r w:rsidR="007353F2" w:rsidRPr="00C243CD">
        <w:rPr>
          <w:rFonts w:ascii="Cambria" w:hAnsi="Cambria"/>
          <w:noProof/>
          <w:lang w:val="en-GB" w:eastAsia="en-GB"/>
        </w:rPr>
        <mc:AlternateContent>
          <mc:Choice Requires="wpg">
            <w:drawing>
              <wp:anchor distT="0" distB="0" distL="114300" distR="114300" simplePos="0" relativeHeight="251658240" behindDoc="0" locked="0" layoutInCell="1" allowOverlap="1" wp14:anchorId="4BDCD6B9" wp14:editId="72265E9B">
                <wp:simplePos x="0" y="0"/>
                <wp:positionH relativeFrom="margin">
                  <wp:align>center</wp:align>
                </wp:positionH>
                <wp:positionV relativeFrom="paragraph">
                  <wp:posOffset>203835</wp:posOffset>
                </wp:positionV>
                <wp:extent cx="5515200" cy="2880000"/>
                <wp:effectExtent l="0" t="0" r="0" b="0"/>
                <wp:wrapTopAndBottom/>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15200" cy="2880000"/>
                          <a:chOff x="0" y="0"/>
                          <a:chExt cx="6127858" cy="3200400"/>
                        </a:xfrm>
                      </wpg:grpSpPr>
                      <wpg:graphicFrame>
                        <wpg:cNvPr id="1" name="Diagram 1"/>
                        <wpg:cNvFrPr/>
                        <wpg:xfrm>
                          <a:off x="0" y="0"/>
                          <a:ext cx="5486400" cy="3200400"/>
                        </wpg:xfrm>
                        <a:graphic>
                          <a:graphicData uri="http://schemas.openxmlformats.org/drawingml/2006/diagram">
                            <dgm:relIds xmlns:dgm="http://schemas.openxmlformats.org/drawingml/2006/diagram" xmlns:r="http://schemas.openxmlformats.org/officeDocument/2006/relationships" r:dm="rId64" r:lo="rId65" r:qs="rId66" r:cs="rId67"/>
                          </a:graphicData>
                        </a:graphic>
                      </wpg:graphicFrame>
                      <wpg:grpSp>
                        <wpg:cNvPr id="8" name="Group 8"/>
                        <wpg:cNvGrpSpPr/>
                        <wpg:grpSpPr>
                          <a:xfrm>
                            <a:off x="36999" y="1030682"/>
                            <a:ext cx="2166772" cy="1928233"/>
                            <a:chOff x="0" y="0"/>
                            <a:chExt cx="2166772" cy="1928233"/>
                          </a:xfrm>
                        </wpg:grpSpPr>
                        <wps:wsp>
                          <wps:cNvPr id="2" name="L-Shape 2"/>
                          <wps:cNvSpPr/>
                          <wps:spPr>
                            <a:xfrm rot="5400000">
                              <a:off x="224624" y="-13914"/>
                              <a:ext cx="1718945" cy="2165350"/>
                            </a:xfrm>
                            <a:prstGeom prst="corner">
                              <a:avLst>
                                <a:gd name="adj1" fmla="val 79925"/>
                                <a:gd name="adj2" fmla="val 4306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0" y="0"/>
                              <a:ext cx="1427259" cy="233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9C9C4" w14:textId="77777777" w:rsidR="002D45CF" w:rsidRPr="007025A8" w:rsidRDefault="002D45CF">
                                <w:pPr>
                                  <w:rPr>
                                    <w:color w:val="FF0000"/>
                                    <w:sz w:val="16"/>
                                  </w:rPr>
                                </w:pPr>
                                <w:r w:rsidRPr="007025A8">
                                  <w:rPr>
                                    <w:color w:val="FF0000"/>
                                    <w:sz w:val="16"/>
                                  </w:rPr>
                                  <w:t>Resolution Group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4096300" y="1004254"/>
                            <a:ext cx="2031558" cy="1965394"/>
                            <a:chOff x="0" y="0"/>
                            <a:chExt cx="2031558" cy="1965394"/>
                          </a:xfrm>
                        </wpg:grpSpPr>
                        <wps:wsp>
                          <wps:cNvPr id="3" name="Rectangle 3"/>
                          <wps:cNvSpPr/>
                          <wps:spPr>
                            <a:xfrm>
                              <a:off x="0" y="230588"/>
                              <a:ext cx="1363511" cy="17348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604299" y="0"/>
                              <a:ext cx="1427259" cy="233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37809" w14:textId="77777777" w:rsidR="002D45CF" w:rsidRPr="007025A8" w:rsidRDefault="002D45CF" w:rsidP="004D104F">
                                <w:pPr>
                                  <w:rPr>
                                    <w:color w:val="FF0000"/>
                                    <w:sz w:val="16"/>
                                  </w:rPr>
                                </w:pPr>
                                <w:r w:rsidRPr="007025A8">
                                  <w:rPr>
                                    <w:color w:val="FF0000"/>
                                    <w:sz w:val="16"/>
                                  </w:rPr>
                                  <w:t xml:space="preserve">Resolution Group </w:t>
                                </w:r>
                                <w:r>
                                  <w:rPr>
                                    <w:color w:val="FF0000"/>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Group 9"/>
                        <wpg:cNvGrpSpPr/>
                        <wpg:grpSpPr>
                          <a:xfrm>
                            <a:off x="2468351" y="58141"/>
                            <a:ext cx="1435100" cy="937895"/>
                            <a:chOff x="0" y="0"/>
                            <a:chExt cx="1435211" cy="938254"/>
                          </a:xfrm>
                        </wpg:grpSpPr>
                        <wps:wsp>
                          <wps:cNvPr id="4" name="Rectangle 4"/>
                          <wps:cNvSpPr/>
                          <wps:spPr>
                            <a:xfrm>
                              <a:off x="0" y="190831"/>
                              <a:ext cx="1367625" cy="7474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7952" y="0"/>
                              <a:ext cx="1427259" cy="233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D34D3" w14:textId="77777777" w:rsidR="002D45CF" w:rsidRPr="007025A8" w:rsidRDefault="002D45CF" w:rsidP="004D104F">
                                <w:pPr>
                                  <w:rPr>
                                    <w:color w:val="FF0000"/>
                                    <w:sz w:val="16"/>
                                  </w:rPr>
                                </w:pPr>
                                <w:r w:rsidRPr="007025A8">
                                  <w:rPr>
                                    <w:color w:val="FF0000"/>
                                    <w:sz w:val="16"/>
                                  </w:rPr>
                                  <w:t xml:space="preserve">Resolution Group </w:t>
                                </w:r>
                                <w:r>
                                  <w:rPr>
                                    <w:color w:val="FF0000"/>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BDCD6B9" id="Group 11" o:spid="_x0000_s1039" style="position:absolute;left:0;text-align:left;margin-left:0;margin-top:16.05pt;width:434.25pt;height:226.75pt;z-index:251658240;mso-position-horizontal:center;mso-position-horizontal-relative:margin;mso-width-relative:margin;mso-height-relative:margin" coordsize="61278,3200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40" type="#_x0000_t75" style="position:absolute;left:338;top:2438;width:54321;height:27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">
                  <v:imagedata r:id="rId69" o:title=""/>
                  <o:lock v:ext="edit" aspectratio="f"/>
                </v:shape>
                <v:group id="Group 8" o:spid="_x0000_s1041" style="position:absolute;left:369;top:10306;width:21668;height:19283" coordsize="21667,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L-Shape 2" o:spid="_x0000_s1042" style="position:absolute;left:2246;top:-140;width:17190;height:21653;rotation:90;visibility:visible;mso-wrap-style:square;v-text-anchor:middle" coordsize="1718945,216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" path="m,l740195,r,791483l1718945,791483r,1373867l,2165350,,xe" filled="f" strokecolor="red" strokeweight="1pt">
                    <v:stroke joinstyle="miter"/>
                    <v:path arrowok="t" o:connecttype="custom" o:connectlocs="0,0;740195,0;740195,791483;1718945,791483;1718945,2165350;0,2165350;0,0" o:connectangles="0,0,0,0,0,0,0"/>
                  </v:shape>
                  <v:shape id="Text Box 5" o:spid="_x0000_s1043" type="#_x0000_t202" style="position:absolute;width:14272;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339C9C4" w14:textId="77777777" w:rsidR="002D45CF" w:rsidRPr="007025A8" w:rsidRDefault="002D45CF">
                          <w:pPr>
                            <w:rPr>
                              <w:color w:val="FF0000"/>
                              <w:sz w:val="16"/>
                            </w:rPr>
                          </w:pPr>
                          <w:r w:rsidRPr="007025A8">
                            <w:rPr>
                              <w:color w:val="FF0000"/>
                              <w:sz w:val="16"/>
                            </w:rPr>
                            <w:t>Resolution Group 2</w:t>
                          </w:r>
                        </w:p>
                      </w:txbxContent>
                    </v:textbox>
                  </v:shape>
                </v:group>
                <v:group id="Group 10" o:spid="_x0000_s1044" style="position:absolute;left:40963;top:10042;width:20315;height:19654" coordsize="20315,1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 o:spid="_x0000_s1045" style="position:absolute;top:2305;width:13635;height:1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I4vwAAANoAAAAPAAAAZHJzL2Rvd25yZXYueG1sRE9da8Iw&#10;FH0X/A/hDvZm026g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CAO9I4vwAAANoAAAAPAAAAAAAA&#10;AAAAAAAAAAcCAABkcnMvZG93bnJldi54bWxQSwUGAAAAAAMAAwC3AAAA8wIAAAAA&#10;" filled="f" strokecolor="red" strokeweight="1pt"/>
                  <v:shape id="Text Box 6" o:spid="_x0000_s1046" type="#_x0000_t202" style="position:absolute;left:6042;width:14273;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9E37809" w14:textId="77777777" w:rsidR="002D45CF" w:rsidRPr="007025A8" w:rsidRDefault="002D45CF" w:rsidP="004D104F">
                          <w:pPr>
                            <w:rPr>
                              <w:color w:val="FF0000"/>
                              <w:sz w:val="16"/>
                            </w:rPr>
                          </w:pPr>
                          <w:r w:rsidRPr="007025A8">
                            <w:rPr>
                              <w:color w:val="FF0000"/>
                              <w:sz w:val="16"/>
                            </w:rPr>
                            <w:t xml:space="preserve">Resolution Group </w:t>
                          </w:r>
                          <w:r>
                            <w:rPr>
                              <w:color w:val="FF0000"/>
                              <w:sz w:val="16"/>
                            </w:rPr>
                            <w:t>4</w:t>
                          </w:r>
                        </w:p>
                      </w:txbxContent>
                    </v:textbox>
                  </v:shape>
                </v:group>
                <v:group id="Group 9" o:spid="_x0000_s1047" style="position:absolute;left:24683;top:581;width:14351;height:9379" coordsize="1435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4" o:spid="_x0000_s1048" style="position:absolute;top:1908;width:13676;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pMvwAAANoAAAAPAAAAZHJzL2Rvd25yZXYueG1sRE9da8Iw&#10;FH0X/A/hDvZm046h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AP0kpMvwAAANoAAAAPAAAAAAAA&#10;AAAAAAAAAAcCAABkcnMvZG93bnJldi54bWxQSwUGAAAAAAMAAwC3AAAA8wIAAAAA&#10;" filled="f" strokecolor="red" strokeweight="1pt"/>
                  <v:shape id="Text Box 7" o:spid="_x0000_s1049" type="#_x0000_t202" style="position:absolute;left:79;width:14273;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46D34D3" w14:textId="77777777" w:rsidR="002D45CF" w:rsidRPr="007025A8" w:rsidRDefault="002D45CF" w:rsidP="004D104F">
                          <w:pPr>
                            <w:rPr>
                              <w:color w:val="FF0000"/>
                              <w:sz w:val="16"/>
                            </w:rPr>
                          </w:pPr>
                          <w:r w:rsidRPr="007025A8">
                            <w:rPr>
                              <w:color w:val="FF0000"/>
                              <w:sz w:val="16"/>
                            </w:rPr>
                            <w:t xml:space="preserve">Resolution Group </w:t>
                          </w:r>
                          <w:r>
                            <w:rPr>
                              <w:color w:val="FF0000"/>
                              <w:sz w:val="16"/>
                            </w:rPr>
                            <w:t>1</w:t>
                          </w:r>
                        </w:p>
                      </w:txbxContent>
                    </v:textbox>
                  </v:shape>
                </v:group>
                <w10:wrap type="topAndBottom" anchorx="margin"/>
              </v:group>
            </w:pict>
          </mc:Fallback>
        </mc:AlternateContent>
      </w:r>
    </w:p>
    <w:p w14:paraId="5EA49BA7" w14:textId="037CF9B6" w:rsidR="003912F0" w:rsidRDefault="003912F0" w:rsidP="007025A8">
      <w:pPr>
        <w:rPr>
          <w:rFonts w:ascii="Cambria" w:hAnsi="Cambria"/>
          <w:lang w:val="en-GB"/>
        </w:rPr>
      </w:pPr>
      <w:r w:rsidRPr="00C243CD">
        <w:rPr>
          <w:rFonts w:ascii="Cambria" w:hAnsi="Cambria"/>
          <w:lang w:val="en-GB"/>
        </w:rPr>
        <w:t xml:space="preserve">The preferred resolution strategy for this group is Multiple Point of Entry (MPE), where 4 resolution groups have been identified, i.e. entities A, B, E and F. These entities are as such the Points Of Entry (POE) for </w:t>
      </w:r>
      <w:r w:rsidR="0011396E" w:rsidRPr="00C243CD">
        <w:rPr>
          <w:rFonts w:ascii="Cambria" w:hAnsi="Cambria"/>
          <w:lang w:val="en-GB"/>
        </w:rPr>
        <w:t>applying resolution actions.</w:t>
      </w:r>
      <w:r w:rsidR="000669BE" w:rsidRPr="00C243CD">
        <w:rPr>
          <w:rFonts w:ascii="Cambria" w:hAnsi="Cambria"/>
          <w:lang w:val="en-GB"/>
        </w:rPr>
        <w:t xml:space="preserve"> Taking into account the legal structure, the default reporting scheme</w:t>
      </w:r>
      <w:r w:rsidR="000669BE" w:rsidRPr="00C243CD">
        <w:rPr>
          <w:rStyle w:val="FootnoteReference"/>
          <w:rFonts w:ascii="Cambria" w:hAnsi="Cambria"/>
          <w:lang w:val="en-GB"/>
        </w:rPr>
        <w:footnoteReference w:id="19"/>
      </w:r>
      <w:r w:rsidR="000669BE" w:rsidRPr="00C243CD">
        <w:rPr>
          <w:rFonts w:ascii="Cambria" w:hAnsi="Cambria"/>
          <w:lang w:val="en-GB"/>
        </w:rPr>
        <w:t xml:space="preserve"> can be presented as follows.</w:t>
      </w:r>
    </w:p>
    <w:p w14:paraId="6C845B55" w14:textId="18E532E3" w:rsidR="008E3235" w:rsidRDefault="008E3235" w:rsidP="007025A8">
      <w:pPr>
        <w:rPr>
          <w:rFonts w:ascii="Cambria" w:hAnsi="Cambria"/>
          <w:lang w:val="en-GB"/>
        </w:rPr>
      </w:pPr>
    </w:p>
    <w:p w14:paraId="2BDDE756" w14:textId="1D0FE45C" w:rsidR="008E3235" w:rsidRDefault="008E3235" w:rsidP="007025A8">
      <w:pPr>
        <w:rPr>
          <w:rFonts w:ascii="Cambria" w:hAnsi="Cambria"/>
          <w:lang w:val="en-GB"/>
        </w:rPr>
      </w:pPr>
    </w:p>
    <w:p w14:paraId="05B85A0B" w14:textId="116AAC15" w:rsidR="008E3235" w:rsidRDefault="008E3235" w:rsidP="007025A8">
      <w:pPr>
        <w:rPr>
          <w:rFonts w:ascii="Cambria" w:hAnsi="Cambria"/>
          <w:lang w:val="en-GB"/>
        </w:rPr>
      </w:pPr>
    </w:p>
    <w:p w14:paraId="44585734" w14:textId="77777777" w:rsidR="008E3235" w:rsidRPr="00C243CD" w:rsidRDefault="008E3235" w:rsidP="007025A8">
      <w:pPr>
        <w:rPr>
          <w:rFonts w:ascii="Cambria" w:hAnsi="Cambria"/>
          <w:lang w:val="en-GB"/>
        </w:rPr>
      </w:pPr>
    </w:p>
    <w:p w14:paraId="6BF44203" w14:textId="77777777" w:rsidR="003912F0" w:rsidRPr="00C243CD" w:rsidRDefault="003912F0" w:rsidP="007025A8">
      <w:pPr>
        <w:rPr>
          <w:rFonts w:ascii="Cambria" w:hAnsi="Cambria"/>
          <w:lang w:val="en-GB"/>
        </w:rPr>
      </w:pPr>
    </w:p>
    <w:tbl>
      <w:tblPr>
        <w:tblStyle w:val="TableGrid"/>
        <w:tblW w:w="10540" w:type="dxa"/>
        <w:tblInd w:w="-5" w:type="dxa"/>
        <w:tblLayout w:type="fixed"/>
        <w:tblLook w:val="04A0" w:firstRow="1" w:lastRow="0" w:firstColumn="1" w:lastColumn="0" w:noHBand="0" w:noVBand="1"/>
      </w:tblPr>
      <w:tblGrid>
        <w:gridCol w:w="2157"/>
        <w:gridCol w:w="836"/>
        <w:gridCol w:w="837"/>
        <w:gridCol w:w="837"/>
        <w:gridCol w:w="837"/>
        <w:gridCol w:w="837"/>
        <w:gridCol w:w="837"/>
        <w:gridCol w:w="837"/>
        <w:gridCol w:w="837"/>
        <w:gridCol w:w="837"/>
        <w:gridCol w:w="851"/>
      </w:tblGrid>
      <w:tr w:rsidR="00742738" w:rsidRPr="0048366A" w14:paraId="3A3BDF06" w14:textId="2D9957EF" w:rsidTr="00144849">
        <w:tc>
          <w:tcPr>
            <w:tcW w:w="2157" w:type="dxa"/>
          </w:tcPr>
          <w:p w14:paraId="14955FF5" w14:textId="77777777" w:rsidR="00742738" w:rsidRPr="00C243CD" w:rsidRDefault="00742738" w:rsidP="007025A8">
            <w:pPr>
              <w:jc w:val="left"/>
              <w:rPr>
                <w:rFonts w:ascii="Cambria" w:hAnsi="Cambria"/>
                <w:b/>
                <w:sz w:val="16"/>
                <w:szCs w:val="16"/>
              </w:rPr>
            </w:pPr>
            <w:r w:rsidRPr="00C243CD">
              <w:rPr>
                <w:rFonts w:ascii="Cambria" w:hAnsi="Cambria"/>
                <w:b/>
                <w:sz w:val="16"/>
                <w:szCs w:val="16"/>
              </w:rPr>
              <w:t>C = Consolidation</w:t>
            </w:r>
          </w:p>
          <w:p w14:paraId="418EFF03" w14:textId="77777777" w:rsidR="00742738" w:rsidRPr="00C243CD" w:rsidRDefault="00742738" w:rsidP="007025A8">
            <w:pPr>
              <w:jc w:val="left"/>
              <w:rPr>
                <w:rFonts w:ascii="Cambria" w:hAnsi="Cambria"/>
                <w:b/>
                <w:sz w:val="16"/>
                <w:szCs w:val="16"/>
              </w:rPr>
            </w:pPr>
            <w:r w:rsidRPr="00C243CD">
              <w:rPr>
                <w:rFonts w:ascii="Cambria" w:hAnsi="Cambria"/>
                <w:b/>
                <w:sz w:val="16"/>
                <w:szCs w:val="16"/>
              </w:rPr>
              <w:t>SC = Sub-Consolidation</w:t>
            </w:r>
          </w:p>
          <w:p w14:paraId="25D9FB18" w14:textId="77777777" w:rsidR="00742738" w:rsidRPr="00C243CD" w:rsidRDefault="00742738" w:rsidP="007025A8">
            <w:pPr>
              <w:jc w:val="left"/>
              <w:rPr>
                <w:rFonts w:ascii="Cambria" w:hAnsi="Cambria"/>
                <w:b/>
                <w:sz w:val="16"/>
                <w:szCs w:val="16"/>
              </w:rPr>
            </w:pPr>
            <w:r w:rsidRPr="00C243CD">
              <w:rPr>
                <w:rFonts w:ascii="Cambria" w:hAnsi="Cambria"/>
                <w:b/>
                <w:sz w:val="16"/>
                <w:szCs w:val="16"/>
              </w:rPr>
              <w:t>I = Individual</w:t>
            </w:r>
          </w:p>
        </w:tc>
        <w:tc>
          <w:tcPr>
            <w:tcW w:w="836" w:type="dxa"/>
            <w:vAlign w:val="center"/>
          </w:tcPr>
          <w:p w14:paraId="36829BDD" w14:textId="77777777" w:rsidR="00742738" w:rsidRPr="00C243CD" w:rsidRDefault="00742738" w:rsidP="007025A8">
            <w:pPr>
              <w:jc w:val="center"/>
              <w:rPr>
                <w:rFonts w:ascii="Cambria" w:hAnsi="Cambria"/>
                <w:b/>
                <w:sz w:val="16"/>
                <w:szCs w:val="16"/>
                <w:lang w:val="en-GB"/>
              </w:rPr>
            </w:pPr>
            <w:r w:rsidRPr="00C243CD">
              <w:rPr>
                <w:rFonts w:ascii="Cambria" w:hAnsi="Cambria"/>
                <w:b/>
                <w:sz w:val="16"/>
                <w:szCs w:val="16"/>
                <w:lang w:val="en-GB"/>
              </w:rPr>
              <w:t>T01.00</w:t>
            </w:r>
          </w:p>
        </w:tc>
        <w:tc>
          <w:tcPr>
            <w:tcW w:w="837" w:type="dxa"/>
            <w:vAlign w:val="center"/>
          </w:tcPr>
          <w:p w14:paraId="4BA24673" w14:textId="77777777" w:rsidR="00742738" w:rsidRPr="00C243CD" w:rsidRDefault="00742738" w:rsidP="007025A8">
            <w:pPr>
              <w:jc w:val="center"/>
              <w:rPr>
                <w:rFonts w:ascii="Cambria" w:hAnsi="Cambria"/>
                <w:b/>
                <w:sz w:val="16"/>
                <w:szCs w:val="16"/>
                <w:lang w:val="en-GB"/>
              </w:rPr>
            </w:pPr>
            <w:r w:rsidRPr="00C243CD">
              <w:rPr>
                <w:rFonts w:ascii="Cambria" w:hAnsi="Cambria"/>
                <w:b/>
                <w:sz w:val="16"/>
                <w:szCs w:val="16"/>
                <w:lang w:val="en-GB"/>
              </w:rPr>
              <w:t>T02.00</w:t>
            </w:r>
          </w:p>
        </w:tc>
        <w:tc>
          <w:tcPr>
            <w:tcW w:w="837" w:type="dxa"/>
            <w:vAlign w:val="center"/>
          </w:tcPr>
          <w:p w14:paraId="2B758976" w14:textId="77777777" w:rsidR="00742738" w:rsidRPr="00C243CD" w:rsidRDefault="00742738">
            <w:pPr>
              <w:jc w:val="center"/>
              <w:rPr>
                <w:rFonts w:ascii="Cambria" w:hAnsi="Cambria"/>
                <w:b/>
                <w:sz w:val="16"/>
                <w:szCs w:val="16"/>
                <w:lang w:val="en-GB"/>
              </w:rPr>
            </w:pPr>
            <w:r w:rsidRPr="00C243CD">
              <w:rPr>
                <w:rFonts w:ascii="Cambria" w:hAnsi="Cambria"/>
                <w:b/>
                <w:sz w:val="16"/>
                <w:szCs w:val="16"/>
                <w:lang w:val="en-GB"/>
              </w:rPr>
              <w:t>T03.01</w:t>
            </w:r>
          </w:p>
          <w:p w14:paraId="57274BFB" w14:textId="77777777" w:rsidR="00742738" w:rsidRPr="00C243CD" w:rsidRDefault="00742738">
            <w:pPr>
              <w:jc w:val="center"/>
              <w:rPr>
                <w:rFonts w:ascii="Cambria" w:hAnsi="Cambria"/>
                <w:b/>
                <w:sz w:val="16"/>
                <w:szCs w:val="16"/>
                <w:lang w:val="en-GB"/>
              </w:rPr>
            </w:pPr>
            <w:r w:rsidRPr="00C243CD">
              <w:rPr>
                <w:rFonts w:ascii="Cambria" w:hAnsi="Cambria"/>
                <w:b/>
                <w:sz w:val="16"/>
                <w:szCs w:val="16"/>
                <w:lang w:val="en-GB"/>
              </w:rPr>
              <w:t>T03.02</w:t>
            </w:r>
          </w:p>
          <w:p w14:paraId="199ACD67" w14:textId="77777777" w:rsidR="00742738" w:rsidRPr="00C243CD" w:rsidRDefault="00742738" w:rsidP="007025A8">
            <w:pPr>
              <w:jc w:val="center"/>
              <w:rPr>
                <w:rFonts w:ascii="Cambria" w:hAnsi="Cambria"/>
                <w:b/>
                <w:sz w:val="16"/>
                <w:szCs w:val="16"/>
                <w:lang w:val="en-GB"/>
              </w:rPr>
            </w:pPr>
            <w:r w:rsidRPr="00C243CD">
              <w:rPr>
                <w:rFonts w:ascii="Cambria" w:hAnsi="Cambria"/>
                <w:b/>
                <w:sz w:val="16"/>
                <w:szCs w:val="16"/>
                <w:lang w:val="en-GB"/>
              </w:rPr>
              <w:t>T03.03</w:t>
            </w:r>
          </w:p>
        </w:tc>
        <w:tc>
          <w:tcPr>
            <w:tcW w:w="837" w:type="dxa"/>
            <w:vAlign w:val="center"/>
          </w:tcPr>
          <w:p w14:paraId="62C6AD80" w14:textId="77777777" w:rsidR="00742738" w:rsidRPr="00C243CD" w:rsidRDefault="00742738" w:rsidP="007025A8">
            <w:pPr>
              <w:jc w:val="center"/>
              <w:rPr>
                <w:rFonts w:ascii="Cambria" w:hAnsi="Cambria"/>
                <w:b/>
                <w:sz w:val="16"/>
                <w:szCs w:val="16"/>
                <w:lang w:val="en-GB"/>
              </w:rPr>
            </w:pPr>
            <w:r w:rsidRPr="00C243CD">
              <w:rPr>
                <w:rFonts w:ascii="Cambria" w:hAnsi="Cambria"/>
                <w:b/>
                <w:sz w:val="16"/>
                <w:szCs w:val="16"/>
                <w:lang w:val="en-GB"/>
              </w:rPr>
              <w:t>T04.00</w:t>
            </w:r>
          </w:p>
        </w:tc>
        <w:tc>
          <w:tcPr>
            <w:tcW w:w="837" w:type="dxa"/>
            <w:vAlign w:val="center"/>
          </w:tcPr>
          <w:p w14:paraId="7AFAF378" w14:textId="2F8DBED6" w:rsidR="00742738" w:rsidRPr="0048366A" w:rsidRDefault="00742738" w:rsidP="0048366A">
            <w:pPr>
              <w:jc w:val="center"/>
              <w:rPr>
                <w:rFonts w:ascii="Cambria" w:hAnsi="Cambria"/>
                <w:b/>
                <w:sz w:val="16"/>
                <w:szCs w:val="16"/>
                <w:lang w:val="en-US"/>
              </w:rPr>
            </w:pPr>
            <w:r w:rsidRPr="00C243CD">
              <w:rPr>
                <w:rFonts w:ascii="Cambria" w:hAnsi="Cambria"/>
                <w:b/>
                <w:sz w:val="16"/>
                <w:szCs w:val="16"/>
                <w:lang w:val="en-GB"/>
              </w:rPr>
              <w:t>T05.0</w:t>
            </w:r>
            <w:r w:rsidR="0048366A">
              <w:rPr>
                <w:rFonts w:ascii="Cambria" w:hAnsi="Cambria"/>
                <w:b/>
                <w:sz w:val="16"/>
                <w:szCs w:val="16"/>
                <w:lang w:val="en-US"/>
              </w:rPr>
              <w:t>1</w:t>
            </w:r>
          </w:p>
        </w:tc>
        <w:tc>
          <w:tcPr>
            <w:tcW w:w="837" w:type="dxa"/>
            <w:vAlign w:val="center"/>
          </w:tcPr>
          <w:p w14:paraId="085B38FC" w14:textId="6BDEE49E" w:rsidR="00742738" w:rsidRPr="00C243CD" w:rsidRDefault="00742738" w:rsidP="0048366A">
            <w:pPr>
              <w:jc w:val="center"/>
              <w:rPr>
                <w:rFonts w:ascii="Cambria" w:hAnsi="Cambria"/>
                <w:b/>
                <w:sz w:val="16"/>
                <w:szCs w:val="16"/>
                <w:lang w:val="en-GB"/>
              </w:rPr>
            </w:pPr>
            <w:r w:rsidRPr="00C243CD">
              <w:rPr>
                <w:rFonts w:ascii="Cambria" w:hAnsi="Cambria"/>
                <w:b/>
                <w:sz w:val="16"/>
                <w:szCs w:val="16"/>
                <w:lang w:val="en-GB"/>
              </w:rPr>
              <w:t>T06.0</w:t>
            </w:r>
            <w:r w:rsidR="0048366A">
              <w:rPr>
                <w:rFonts w:ascii="Cambria" w:hAnsi="Cambria"/>
                <w:b/>
                <w:sz w:val="16"/>
                <w:szCs w:val="16"/>
                <w:lang w:val="en-GB"/>
              </w:rPr>
              <w:t>1</w:t>
            </w:r>
          </w:p>
        </w:tc>
        <w:tc>
          <w:tcPr>
            <w:tcW w:w="837" w:type="dxa"/>
            <w:vAlign w:val="center"/>
          </w:tcPr>
          <w:p w14:paraId="2EA5CEB9" w14:textId="77777777" w:rsidR="00742738" w:rsidRPr="00C243CD" w:rsidRDefault="00742738" w:rsidP="007025A8">
            <w:pPr>
              <w:jc w:val="center"/>
              <w:rPr>
                <w:rFonts w:ascii="Cambria" w:hAnsi="Cambria"/>
                <w:b/>
                <w:sz w:val="16"/>
                <w:szCs w:val="16"/>
                <w:lang w:val="en-GB"/>
              </w:rPr>
            </w:pPr>
            <w:r w:rsidRPr="00C243CD">
              <w:rPr>
                <w:rFonts w:ascii="Cambria" w:hAnsi="Cambria"/>
                <w:b/>
                <w:sz w:val="16"/>
                <w:szCs w:val="16"/>
                <w:lang w:val="en-GB"/>
              </w:rPr>
              <w:t>T07.00</w:t>
            </w:r>
          </w:p>
        </w:tc>
        <w:tc>
          <w:tcPr>
            <w:tcW w:w="837" w:type="dxa"/>
            <w:vAlign w:val="center"/>
          </w:tcPr>
          <w:p w14:paraId="29F86B5F" w14:textId="77777777" w:rsidR="00742738" w:rsidRPr="00C243CD" w:rsidRDefault="00742738" w:rsidP="007025A8">
            <w:pPr>
              <w:jc w:val="center"/>
              <w:rPr>
                <w:rFonts w:ascii="Cambria" w:hAnsi="Cambria"/>
                <w:b/>
                <w:sz w:val="16"/>
                <w:szCs w:val="16"/>
                <w:lang w:val="en-GB"/>
              </w:rPr>
            </w:pPr>
            <w:r w:rsidRPr="00C243CD">
              <w:rPr>
                <w:rFonts w:ascii="Cambria" w:hAnsi="Cambria"/>
                <w:b/>
                <w:sz w:val="16"/>
                <w:szCs w:val="16"/>
                <w:lang w:val="en-GB"/>
              </w:rPr>
              <w:t>T08.00</w:t>
            </w:r>
          </w:p>
        </w:tc>
        <w:tc>
          <w:tcPr>
            <w:tcW w:w="837" w:type="dxa"/>
            <w:vAlign w:val="center"/>
          </w:tcPr>
          <w:p w14:paraId="54920AE2" w14:textId="15CB8644" w:rsidR="00742738" w:rsidRPr="00C243CD" w:rsidRDefault="00742738" w:rsidP="00647B6B">
            <w:pPr>
              <w:jc w:val="center"/>
              <w:rPr>
                <w:rFonts w:ascii="Cambria" w:hAnsi="Cambria"/>
                <w:b/>
                <w:sz w:val="16"/>
                <w:szCs w:val="16"/>
                <w:lang w:val="en-GB"/>
              </w:rPr>
            </w:pPr>
            <w:r>
              <w:rPr>
                <w:rFonts w:ascii="Cambria" w:hAnsi="Cambria"/>
                <w:b/>
                <w:sz w:val="16"/>
                <w:szCs w:val="16"/>
                <w:lang w:val="en-GB"/>
              </w:rPr>
              <w:t>T09.00</w:t>
            </w:r>
          </w:p>
        </w:tc>
        <w:tc>
          <w:tcPr>
            <w:tcW w:w="851" w:type="dxa"/>
            <w:vAlign w:val="center"/>
          </w:tcPr>
          <w:p w14:paraId="6ECF44FD" w14:textId="4993EAC8" w:rsidR="00742738" w:rsidRDefault="00742738" w:rsidP="00647B6B">
            <w:pPr>
              <w:jc w:val="center"/>
              <w:rPr>
                <w:rFonts w:ascii="Cambria" w:hAnsi="Cambria"/>
                <w:b/>
                <w:sz w:val="16"/>
                <w:szCs w:val="16"/>
                <w:lang w:val="en-GB"/>
              </w:rPr>
            </w:pPr>
            <w:r>
              <w:rPr>
                <w:rFonts w:ascii="Cambria" w:hAnsi="Cambria"/>
                <w:b/>
                <w:sz w:val="16"/>
                <w:szCs w:val="16"/>
                <w:lang w:val="en-GB"/>
              </w:rPr>
              <w:t>T12.00</w:t>
            </w:r>
          </w:p>
        </w:tc>
      </w:tr>
      <w:tr w:rsidR="00742738" w:rsidRPr="0048366A" w14:paraId="41766BDE" w14:textId="341875F8" w:rsidTr="00144849">
        <w:tc>
          <w:tcPr>
            <w:tcW w:w="2157" w:type="dxa"/>
          </w:tcPr>
          <w:p w14:paraId="25E7B5E8" w14:textId="3A245A3D"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Ultimate Parent Entity A (Resolution Group 1)</w:t>
            </w:r>
          </w:p>
        </w:tc>
        <w:tc>
          <w:tcPr>
            <w:tcW w:w="836" w:type="dxa"/>
            <w:vAlign w:val="center"/>
          </w:tcPr>
          <w:p w14:paraId="453A5F1F"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C/I</w:t>
            </w:r>
          </w:p>
        </w:tc>
        <w:tc>
          <w:tcPr>
            <w:tcW w:w="837" w:type="dxa"/>
            <w:vAlign w:val="center"/>
          </w:tcPr>
          <w:p w14:paraId="6B5FF9EE"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C/I</w:t>
            </w:r>
          </w:p>
        </w:tc>
        <w:tc>
          <w:tcPr>
            <w:tcW w:w="837" w:type="dxa"/>
            <w:vAlign w:val="center"/>
          </w:tcPr>
          <w:p w14:paraId="5C041F36"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C/I</w:t>
            </w:r>
          </w:p>
        </w:tc>
        <w:tc>
          <w:tcPr>
            <w:tcW w:w="837" w:type="dxa"/>
            <w:vAlign w:val="center"/>
          </w:tcPr>
          <w:p w14:paraId="252E4F48"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7CA44FE0"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46993298"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7E36D28C"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18384331"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41909363" w14:textId="318520E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51" w:type="dxa"/>
            <w:vAlign w:val="center"/>
          </w:tcPr>
          <w:p w14:paraId="29726C0F" w14:textId="55445958" w:rsidR="00742738" w:rsidRDefault="00742738" w:rsidP="00647B6B">
            <w:pPr>
              <w:jc w:val="center"/>
              <w:rPr>
                <w:rFonts w:ascii="Cambria" w:hAnsi="Cambria"/>
                <w:sz w:val="16"/>
                <w:szCs w:val="16"/>
                <w:lang w:val="en-GB"/>
              </w:rPr>
            </w:pPr>
            <w:r w:rsidRPr="00C243CD">
              <w:rPr>
                <w:rFonts w:ascii="Cambria" w:hAnsi="Cambria"/>
                <w:sz w:val="16"/>
                <w:szCs w:val="16"/>
                <w:lang w:val="en-GB"/>
              </w:rPr>
              <w:t>C/I</w:t>
            </w:r>
          </w:p>
        </w:tc>
      </w:tr>
      <w:tr w:rsidR="00742738" w:rsidRPr="00706844" w14:paraId="4A5117F2" w14:textId="1B4988F4" w:rsidTr="00144849">
        <w:tc>
          <w:tcPr>
            <w:tcW w:w="2157" w:type="dxa"/>
          </w:tcPr>
          <w:p w14:paraId="7714FEE8" w14:textId="1B6D9045"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Parent Entity B</w:t>
            </w:r>
          </w:p>
          <w:p w14:paraId="7B84139F" w14:textId="77777777"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(Prudential Consolidation)</w:t>
            </w:r>
          </w:p>
        </w:tc>
        <w:tc>
          <w:tcPr>
            <w:tcW w:w="836" w:type="dxa"/>
            <w:vAlign w:val="center"/>
          </w:tcPr>
          <w:p w14:paraId="14F1B905"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SC/I</w:t>
            </w:r>
          </w:p>
        </w:tc>
        <w:tc>
          <w:tcPr>
            <w:tcW w:w="837" w:type="dxa"/>
            <w:vAlign w:val="center"/>
          </w:tcPr>
          <w:p w14:paraId="1853AAD8"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SC/I</w:t>
            </w:r>
          </w:p>
        </w:tc>
        <w:tc>
          <w:tcPr>
            <w:tcW w:w="837" w:type="dxa"/>
            <w:vAlign w:val="center"/>
          </w:tcPr>
          <w:p w14:paraId="5CCDD285"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SC/I</w:t>
            </w:r>
          </w:p>
        </w:tc>
        <w:tc>
          <w:tcPr>
            <w:tcW w:w="837" w:type="dxa"/>
            <w:vAlign w:val="center"/>
          </w:tcPr>
          <w:p w14:paraId="5F121F0B"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553DC3F5"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3D937B7A"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5DF4B941"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1073ECD3"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7F817AD6" w14:textId="11469E81"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51" w:type="dxa"/>
            <w:vAlign w:val="center"/>
          </w:tcPr>
          <w:p w14:paraId="6F17B04F" w14:textId="4D143622" w:rsidR="00742738" w:rsidRDefault="00742738" w:rsidP="00647B6B">
            <w:pPr>
              <w:jc w:val="center"/>
              <w:rPr>
                <w:rFonts w:ascii="Cambria" w:hAnsi="Cambria"/>
                <w:sz w:val="16"/>
                <w:szCs w:val="16"/>
                <w:lang w:val="en-GB"/>
              </w:rPr>
            </w:pPr>
            <w:r w:rsidRPr="00C243CD">
              <w:rPr>
                <w:rFonts w:ascii="Cambria" w:hAnsi="Cambria"/>
                <w:sz w:val="16"/>
                <w:szCs w:val="16"/>
                <w:lang w:val="en-GB"/>
              </w:rPr>
              <w:t>SC/I</w:t>
            </w:r>
          </w:p>
        </w:tc>
      </w:tr>
      <w:tr w:rsidR="00742738" w:rsidRPr="00706844" w14:paraId="24DBFDDD" w14:textId="7D8C535B" w:rsidTr="00144849">
        <w:tc>
          <w:tcPr>
            <w:tcW w:w="2157" w:type="dxa"/>
          </w:tcPr>
          <w:p w14:paraId="241068B8" w14:textId="46A89977"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Parent Entity B</w:t>
            </w:r>
          </w:p>
          <w:p w14:paraId="248E3176" w14:textId="77777777"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(Resolution Group 2)</w:t>
            </w:r>
          </w:p>
        </w:tc>
        <w:tc>
          <w:tcPr>
            <w:tcW w:w="836" w:type="dxa"/>
            <w:vAlign w:val="center"/>
          </w:tcPr>
          <w:p w14:paraId="7E0C54CE"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w:t>
            </w:r>
          </w:p>
        </w:tc>
        <w:tc>
          <w:tcPr>
            <w:tcW w:w="837" w:type="dxa"/>
            <w:vAlign w:val="center"/>
          </w:tcPr>
          <w:p w14:paraId="3A1E53FA"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w:t>
            </w:r>
          </w:p>
        </w:tc>
        <w:tc>
          <w:tcPr>
            <w:tcW w:w="837" w:type="dxa"/>
            <w:vAlign w:val="center"/>
          </w:tcPr>
          <w:p w14:paraId="38888273"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w:t>
            </w:r>
          </w:p>
        </w:tc>
        <w:tc>
          <w:tcPr>
            <w:tcW w:w="837" w:type="dxa"/>
            <w:vAlign w:val="center"/>
          </w:tcPr>
          <w:p w14:paraId="68014D71"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1504D5D3"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758BB719"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0BFC23CF"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62F67B10"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159F13F1" w14:textId="4E9CD36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51" w:type="dxa"/>
            <w:vAlign w:val="center"/>
          </w:tcPr>
          <w:p w14:paraId="0B66B582" w14:textId="687E0C3E" w:rsidR="00742738" w:rsidRDefault="00742738" w:rsidP="00647B6B">
            <w:pPr>
              <w:jc w:val="center"/>
              <w:rPr>
                <w:rFonts w:ascii="Cambria" w:hAnsi="Cambria"/>
                <w:sz w:val="16"/>
                <w:szCs w:val="16"/>
                <w:lang w:val="en-GB"/>
              </w:rPr>
            </w:pPr>
            <w:r w:rsidRPr="00C243CD">
              <w:rPr>
                <w:rFonts w:ascii="Cambria" w:hAnsi="Cambria"/>
                <w:sz w:val="16"/>
                <w:szCs w:val="16"/>
                <w:lang w:val="en-GB"/>
              </w:rPr>
              <w:t>SC</w:t>
            </w:r>
          </w:p>
        </w:tc>
      </w:tr>
      <w:tr w:rsidR="00742738" w:rsidRPr="00706844" w14:paraId="68404694" w14:textId="016692AE" w:rsidTr="00144849">
        <w:tc>
          <w:tcPr>
            <w:tcW w:w="2157" w:type="dxa"/>
          </w:tcPr>
          <w:p w14:paraId="26A6D417" w14:textId="041D060E"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Subsidiary C</w:t>
            </w:r>
          </w:p>
        </w:tc>
        <w:tc>
          <w:tcPr>
            <w:tcW w:w="836" w:type="dxa"/>
            <w:vAlign w:val="center"/>
          </w:tcPr>
          <w:p w14:paraId="692330CC"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0613F607"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46D21DF2"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05D3979F"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216C65E9"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568E697E"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3071FC6A"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1FED28BB"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5DC89F2F" w14:textId="161BBA24"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51" w:type="dxa"/>
            <w:vAlign w:val="center"/>
          </w:tcPr>
          <w:p w14:paraId="5715BB55" w14:textId="7D4CBDDF" w:rsidR="00742738" w:rsidRDefault="00742738" w:rsidP="00647B6B">
            <w:pPr>
              <w:jc w:val="center"/>
              <w:rPr>
                <w:rFonts w:ascii="Cambria" w:hAnsi="Cambria"/>
                <w:sz w:val="16"/>
                <w:szCs w:val="16"/>
                <w:lang w:val="en-GB"/>
              </w:rPr>
            </w:pPr>
            <w:r w:rsidRPr="00C243CD">
              <w:rPr>
                <w:rFonts w:ascii="Cambria" w:hAnsi="Cambria"/>
                <w:sz w:val="16"/>
                <w:szCs w:val="16"/>
                <w:lang w:val="en-GB"/>
              </w:rPr>
              <w:t>-</w:t>
            </w:r>
          </w:p>
        </w:tc>
      </w:tr>
      <w:tr w:rsidR="00742738" w:rsidRPr="00706844" w14:paraId="1343C754" w14:textId="2B76518A" w:rsidTr="00144849">
        <w:tc>
          <w:tcPr>
            <w:tcW w:w="2157" w:type="dxa"/>
          </w:tcPr>
          <w:p w14:paraId="04E081E6" w14:textId="08CEB6F0"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Subsidiary D</w:t>
            </w:r>
          </w:p>
        </w:tc>
        <w:tc>
          <w:tcPr>
            <w:tcW w:w="836" w:type="dxa"/>
            <w:vAlign w:val="center"/>
          </w:tcPr>
          <w:p w14:paraId="33E3F7C6"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4BA528A4"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1A1500E2"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32CFA7C2"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63638628"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7C1E8DB6"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3B2F6F83"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25D5B9C0"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335C3AE0" w14:textId="3CD43ECE"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51" w:type="dxa"/>
            <w:vAlign w:val="center"/>
          </w:tcPr>
          <w:p w14:paraId="7522E35C" w14:textId="5EF219A5" w:rsidR="00742738" w:rsidRDefault="00742738" w:rsidP="00647B6B">
            <w:pPr>
              <w:jc w:val="center"/>
              <w:rPr>
                <w:rFonts w:ascii="Cambria" w:hAnsi="Cambria"/>
                <w:sz w:val="16"/>
                <w:szCs w:val="16"/>
                <w:lang w:val="en-GB"/>
              </w:rPr>
            </w:pPr>
            <w:r w:rsidRPr="00C243CD">
              <w:rPr>
                <w:rFonts w:ascii="Cambria" w:hAnsi="Cambria"/>
                <w:sz w:val="16"/>
                <w:szCs w:val="16"/>
                <w:lang w:val="en-GB"/>
              </w:rPr>
              <w:t>I</w:t>
            </w:r>
          </w:p>
        </w:tc>
      </w:tr>
      <w:tr w:rsidR="00742738" w:rsidRPr="00706844" w14:paraId="361FACCD" w14:textId="7D6ECCAE" w:rsidTr="00144849">
        <w:tc>
          <w:tcPr>
            <w:tcW w:w="2157" w:type="dxa"/>
          </w:tcPr>
          <w:p w14:paraId="2A42AD6B" w14:textId="040F6DC0"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Subsidiary E</w:t>
            </w:r>
          </w:p>
          <w:p w14:paraId="5B03BBC9" w14:textId="77777777"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(Resolution Group 3)</w:t>
            </w:r>
          </w:p>
        </w:tc>
        <w:tc>
          <w:tcPr>
            <w:tcW w:w="836" w:type="dxa"/>
            <w:vAlign w:val="center"/>
          </w:tcPr>
          <w:p w14:paraId="3947E6A9"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1668B6AA"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4A34665B"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57479FA7"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71C4A767"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2056FD2D"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443B6A69"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366E076D"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51DDD4AE" w14:textId="2FCE6CFC"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51" w:type="dxa"/>
            <w:vAlign w:val="center"/>
          </w:tcPr>
          <w:p w14:paraId="1EAF3329" w14:textId="02229735" w:rsidR="00742738" w:rsidRDefault="00742738" w:rsidP="00647B6B">
            <w:pPr>
              <w:jc w:val="center"/>
              <w:rPr>
                <w:rFonts w:ascii="Cambria" w:hAnsi="Cambria"/>
                <w:sz w:val="16"/>
                <w:szCs w:val="16"/>
                <w:lang w:val="en-GB"/>
              </w:rPr>
            </w:pPr>
            <w:r w:rsidRPr="00C243CD">
              <w:rPr>
                <w:rFonts w:ascii="Cambria" w:hAnsi="Cambria"/>
                <w:sz w:val="16"/>
                <w:szCs w:val="16"/>
                <w:lang w:val="en-GB"/>
              </w:rPr>
              <w:t>I</w:t>
            </w:r>
          </w:p>
        </w:tc>
      </w:tr>
      <w:tr w:rsidR="00742738" w:rsidRPr="00706844" w14:paraId="05F7AB99" w14:textId="6C300CB2" w:rsidTr="00144849">
        <w:tc>
          <w:tcPr>
            <w:tcW w:w="2157" w:type="dxa"/>
          </w:tcPr>
          <w:p w14:paraId="783503E5" w14:textId="038E38B8"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Parent Entity F</w:t>
            </w:r>
          </w:p>
          <w:p w14:paraId="24E356B6" w14:textId="77777777"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(Prudential Consolidation = Resolution Group 4)</w:t>
            </w:r>
          </w:p>
        </w:tc>
        <w:tc>
          <w:tcPr>
            <w:tcW w:w="836" w:type="dxa"/>
            <w:vAlign w:val="center"/>
          </w:tcPr>
          <w:p w14:paraId="40825AF6"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SC/I</w:t>
            </w:r>
          </w:p>
        </w:tc>
        <w:tc>
          <w:tcPr>
            <w:tcW w:w="837" w:type="dxa"/>
            <w:vAlign w:val="center"/>
          </w:tcPr>
          <w:p w14:paraId="63E856D9"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SC/I</w:t>
            </w:r>
          </w:p>
        </w:tc>
        <w:tc>
          <w:tcPr>
            <w:tcW w:w="837" w:type="dxa"/>
            <w:vAlign w:val="center"/>
          </w:tcPr>
          <w:p w14:paraId="6358A79C"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SC/I</w:t>
            </w:r>
          </w:p>
        </w:tc>
        <w:tc>
          <w:tcPr>
            <w:tcW w:w="837" w:type="dxa"/>
            <w:vAlign w:val="center"/>
          </w:tcPr>
          <w:p w14:paraId="5B22F146"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668EEFF5"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14986891"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35F03EFE"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5CAD7894"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4CCD684D" w14:textId="7F5FA1E1"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51" w:type="dxa"/>
            <w:vAlign w:val="center"/>
          </w:tcPr>
          <w:p w14:paraId="0A640AE5" w14:textId="21E25972" w:rsidR="00742738" w:rsidRDefault="00742738" w:rsidP="00647B6B">
            <w:pPr>
              <w:jc w:val="center"/>
              <w:rPr>
                <w:rFonts w:ascii="Cambria" w:hAnsi="Cambria"/>
                <w:sz w:val="16"/>
                <w:szCs w:val="16"/>
                <w:lang w:val="en-GB"/>
              </w:rPr>
            </w:pPr>
            <w:r w:rsidRPr="00C243CD">
              <w:rPr>
                <w:rFonts w:ascii="Cambria" w:hAnsi="Cambria"/>
                <w:sz w:val="16"/>
                <w:szCs w:val="16"/>
                <w:lang w:val="en-GB"/>
              </w:rPr>
              <w:t>SC/I</w:t>
            </w:r>
          </w:p>
        </w:tc>
      </w:tr>
      <w:tr w:rsidR="00742738" w:rsidRPr="00706844" w14:paraId="6CD38364" w14:textId="1DA22132" w:rsidTr="00144849">
        <w:tc>
          <w:tcPr>
            <w:tcW w:w="2157" w:type="dxa"/>
          </w:tcPr>
          <w:p w14:paraId="097EBA4B" w14:textId="13579456" w:rsidR="00742738" w:rsidRPr="00C243CD" w:rsidRDefault="00742738" w:rsidP="00647B6B">
            <w:pPr>
              <w:jc w:val="left"/>
              <w:rPr>
                <w:rFonts w:ascii="Cambria" w:hAnsi="Cambria"/>
                <w:sz w:val="16"/>
                <w:szCs w:val="16"/>
                <w:lang w:val="en-GB"/>
              </w:rPr>
            </w:pPr>
            <w:r w:rsidRPr="00C243CD">
              <w:rPr>
                <w:rFonts w:ascii="Cambria" w:hAnsi="Cambria"/>
                <w:sz w:val="16"/>
                <w:szCs w:val="16"/>
                <w:lang w:val="en-GB"/>
              </w:rPr>
              <w:t>Subsidiary G</w:t>
            </w:r>
          </w:p>
        </w:tc>
        <w:tc>
          <w:tcPr>
            <w:tcW w:w="836" w:type="dxa"/>
            <w:vAlign w:val="center"/>
          </w:tcPr>
          <w:p w14:paraId="5DBD7B14"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49279212"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0E1B9449"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I</w:t>
            </w:r>
          </w:p>
        </w:tc>
        <w:tc>
          <w:tcPr>
            <w:tcW w:w="837" w:type="dxa"/>
            <w:vAlign w:val="center"/>
          </w:tcPr>
          <w:p w14:paraId="53145C88"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4F2EA718"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4BCD2DD1"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19638C8F"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1B14176D" w14:textId="7777777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37" w:type="dxa"/>
            <w:vAlign w:val="center"/>
          </w:tcPr>
          <w:p w14:paraId="09C94A05" w14:textId="24D89837" w:rsidR="00742738" w:rsidRPr="00C243CD" w:rsidRDefault="00742738" w:rsidP="00647B6B">
            <w:pPr>
              <w:jc w:val="center"/>
              <w:rPr>
                <w:rFonts w:ascii="Cambria" w:hAnsi="Cambria"/>
                <w:sz w:val="16"/>
                <w:szCs w:val="16"/>
                <w:lang w:val="en-GB"/>
              </w:rPr>
            </w:pPr>
            <w:r w:rsidRPr="00C243CD">
              <w:rPr>
                <w:rFonts w:ascii="Cambria" w:hAnsi="Cambria"/>
                <w:sz w:val="16"/>
                <w:szCs w:val="16"/>
                <w:lang w:val="en-GB"/>
              </w:rPr>
              <w:t>-</w:t>
            </w:r>
          </w:p>
        </w:tc>
        <w:tc>
          <w:tcPr>
            <w:tcW w:w="851" w:type="dxa"/>
            <w:vAlign w:val="center"/>
          </w:tcPr>
          <w:p w14:paraId="6FE03561" w14:textId="0853D679" w:rsidR="00742738" w:rsidRDefault="00742738" w:rsidP="00647B6B">
            <w:pPr>
              <w:jc w:val="center"/>
              <w:rPr>
                <w:rFonts w:ascii="Cambria" w:hAnsi="Cambria"/>
                <w:sz w:val="16"/>
                <w:szCs w:val="16"/>
                <w:lang w:val="en-GB"/>
              </w:rPr>
            </w:pPr>
            <w:r w:rsidRPr="00C243CD">
              <w:rPr>
                <w:rFonts w:ascii="Cambria" w:hAnsi="Cambria"/>
                <w:sz w:val="16"/>
                <w:szCs w:val="16"/>
                <w:lang w:val="en-GB"/>
              </w:rPr>
              <w:t>I</w:t>
            </w:r>
          </w:p>
        </w:tc>
      </w:tr>
    </w:tbl>
    <w:p w14:paraId="5904F41C" w14:textId="77777777" w:rsidR="00647B6B" w:rsidRDefault="00647B6B">
      <w:pPr>
        <w:rPr>
          <w:rFonts w:ascii="Cambria" w:hAnsi="Cambria"/>
          <w:lang w:val="en-GB"/>
        </w:rPr>
        <w:sectPr w:rsidR="00647B6B" w:rsidSect="00647B6B">
          <w:pgSz w:w="16838" w:h="11906" w:orient="landscape"/>
          <w:pgMar w:top="1440" w:right="1440" w:bottom="1440" w:left="1440" w:header="709" w:footer="709" w:gutter="0"/>
          <w:cols w:space="708"/>
          <w:titlePg/>
          <w:docGrid w:linePitch="360"/>
        </w:sectPr>
      </w:pPr>
    </w:p>
    <w:p w14:paraId="09648885" w14:textId="782FB378" w:rsidR="007914AD" w:rsidRPr="00C243CD" w:rsidRDefault="007914AD">
      <w:pPr>
        <w:rPr>
          <w:rFonts w:ascii="Cambria" w:hAnsi="Cambria"/>
          <w:lang w:val="en-GB"/>
        </w:rPr>
      </w:pPr>
    </w:p>
    <w:p w14:paraId="70D60D16" w14:textId="77777777" w:rsidR="007914AD" w:rsidRPr="00C243CD" w:rsidRDefault="007914AD">
      <w:pPr>
        <w:spacing w:after="160" w:line="259" w:lineRule="auto"/>
        <w:jc w:val="left"/>
        <w:rPr>
          <w:rFonts w:ascii="Cambria" w:hAnsi="Cambria"/>
          <w:lang w:val="en-GB"/>
        </w:rPr>
      </w:pPr>
    </w:p>
    <w:p w14:paraId="2CAC4F9A" w14:textId="5991F4D2" w:rsidR="007914AD" w:rsidRPr="00C243CD" w:rsidRDefault="007914AD" w:rsidP="00473699">
      <w:pPr>
        <w:pStyle w:val="Heading1"/>
        <w:rPr>
          <w:rFonts w:ascii="Cambria" w:hAnsi="Cambria"/>
          <w:lang w:val="en-GB"/>
        </w:rPr>
      </w:pPr>
      <w:bookmarkStart w:id="234" w:name="_Toc12973039"/>
      <w:bookmarkStart w:id="235" w:name="_Toc13755766"/>
      <w:commentRangeStart w:id="236"/>
      <w:r w:rsidRPr="00C243CD">
        <w:rPr>
          <w:rFonts w:ascii="Cambria" w:hAnsi="Cambria"/>
          <w:lang w:val="en-GB"/>
        </w:rPr>
        <w:t xml:space="preserve">Annex </w:t>
      </w:r>
      <w:r w:rsidR="001B7DFF" w:rsidRPr="00C243CD">
        <w:rPr>
          <w:rFonts w:ascii="Cambria" w:hAnsi="Cambria"/>
          <w:lang w:val="en-GB"/>
        </w:rPr>
        <w:t>3</w:t>
      </w:r>
      <w:r w:rsidR="00473699">
        <w:rPr>
          <w:rFonts w:ascii="Cambria" w:hAnsi="Cambria"/>
          <w:lang w:val="en-GB"/>
        </w:rPr>
        <w:t xml:space="preserve"> - </w:t>
      </w:r>
      <w:r w:rsidR="00706844" w:rsidRPr="00C243CD">
        <w:rPr>
          <w:rFonts w:ascii="Cambria" w:hAnsi="Cambria"/>
          <w:lang w:val="en-GB"/>
        </w:rPr>
        <w:t>Data Validations</w:t>
      </w:r>
      <w:bookmarkEnd w:id="234"/>
      <w:commentRangeEnd w:id="236"/>
      <w:r w:rsidR="00284343">
        <w:rPr>
          <w:rStyle w:val="CommentReference"/>
          <w:rFonts w:ascii="Cambria" w:eastAsia="MS Mincho" w:hAnsi="Cambria" w:cs="Times New Roman"/>
          <w:u w:val="none"/>
          <w:lang w:val="en-US"/>
        </w:rPr>
        <w:commentReference w:id="236"/>
      </w:r>
      <w:bookmarkEnd w:id="235"/>
    </w:p>
    <w:p w14:paraId="0414D273" w14:textId="77777777" w:rsidR="007914AD" w:rsidRPr="00C243CD" w:rsidRDefault="007914AD" w:rsidP="00991041">
      <w:pPr>
        <w:pStyle w:val="Heading3"/>
        <w:numPr>
          <w:ilvl w:val="0"/>
          <w:numId w:val="28"/>
        </w:numPr>
        <w:rPr>
          <w:rFonts w:ascii="Cambria" w:hAnsi="Cambria"/>
          <w:lang w:val="en-GB"/>
        </w:rPr>
      </w:pPr>
      <w:bookmarkStart w:id="237" w:name="_Toc496166849"/>
      <w:bookmarkStart w:id="238" w:name="_Toc12973040"/>
      <w:bookmarkStart w:id="239" w:name="_Toc13755767"/>
      <w:r w:rsidRPr="00C243CD">
        <w:rPr>
          <w:rFonts w:ascii="Cambria" w:hAnsi="Cambria"/>
          <w:lang w:val="en-GB"/>
        </w:rPr>
        <w:t>L</w:t>
      </w:r>
      <w:r w:rsidR="004839AD" w:rsidRPr="00C243CD">
        <w:rPr>
          <w:rFonts w:ascii="Cambria" w:hAnsi="Cambria"/>
          <w:lang w:val="en-GB"/>
        </w:rPr>
        <w:t>evel</w:t>
      </w:r>
      <w:r w:rsidRPr="00C243CD">
        <w:rPr>
          <w:rFonts w:ascii="Cambria" w:hAnsi="Cambria"/>
          <w:lang w:val="en-GB"/>
        </w:rPr>
        <w:t xml:space="preserve"> 1 checks</w:t>
      </w:r>
      <w:bookmarkEnd w:id="237"/>
      <w:bookmarkEnd w:id="238"/>
      <w:bookmarkEnd w:id="239"/>
    </w:p>
    <w:p w14:paraId="2DDA3A3B" w14:textId="2B5F61DB" w:rsidR="007914AD" w:rsidRPr="00C243CD" w:rsidRDefault="00A11411" w:rsidP="007914AD">
      <w:pPr>
        <w:rPr>
          <w:rFonts w:ascii="Cambria" w:hAnsi="Cambria"/>
          <w:lang w:val="en-GB"/>
        </w:rPr>
      </w:pPr>
      <w:r w:rsidRPr="00C243CD">
        <w:rPr>
          <w:rFonts w:ascii="Cambria" w:hAnsi="Cambria"/>
          <w:lang w:val="en-GB"/>
        </w:rPr>
        <w:t xml:space="preserve">Please refer to the </w:t>
      </w:r>
      <w:r w:rsidR="000831C9">
        <w:rPr>
          <w:rFonts w:ascii="Cambria" w:hAnsi="Cambria"/>
          <w:lang w:val="en-GB"/>
        </w:rPr>
        <w:t xml:space="preserve">SRB XBRL </w:t>
      </w:r>
      <w:r w:rsidR="009E4087" w:rsidRPr="00C243CD">
        <w:rPr>
          <w:rFonts w:ascii="Cambria" w:hAnsi="Cambria"/>
          <w:lang w:val="en-GB"/>
        </w:rPr>
        <w:t>Filing Rules</w:t>
      </w:r>
      <w:r w:rsidR="000831C9">
        <w:rPr>
          <w:rFonts w:ascii="Cambria" w:hAnsi="Cambria"/>
          <w:lang w:val="en-GB"/>
        </w:rPr>
        <w:t xml:space="preserve"> for the </w:t>
      </w:r>
      <w:r w:rsidR="00570D4D">
        <w:rPr>
          <w:rFonts w:ascii="Cambria" w:hAnsi="Cambria"/>
          <w:lang w:val="en-GB"/>
        </w:rPr>
        <w:t>Resolution Reporting</w:t>
      </w:r>
      <w:r w:rsidR="009E4087" w:rsidRPr="00C243CD">
        <w:rPr>
          <w:rFonts w:ascii="Cambria" w:hAnsi="Cambria"/>
          <w:lang w:val="en-GB"/>
        </w:rPr>
        <w:t xml:space="preserve"> available on the </w:t>
      </w:r>
      <w:hyperlink r:id="rId70" w:history="1">
        <w:r w:rsidR="009E4087" w:rsidRPr="00C243CD">
          <w:rPr>
            <w:rStyle w:val="Hyperlink"/>
            <w:rFonts w:ascii="Cambria" w:hAnsi="Cambria"/>
            <w:lang w:val="en-GB"/>
          </w:rPr>
          <w:t>SRB website</w:t>
        </w:r>
      </w:hyperlink>
      <w:r w:rsidRPr="00C243CD">
        <w:rPr>
          <w:rFonts w:ascii="Cambria" w:hAnsi="Cambria"/>
          <w:lang w:val="en-GB"/>
        </w:rPr>
        <w:t>.</w:t>
      </w:r>
    </w:p>
    <w:p w14:paraId="27F8A29B" w14:textId="77777777" w:rsidR="007914AD" w:rsidRPr="00C243CD" w:rsidRDefault="004839AD" w:rsidP="00991041">
      <w:pPr>
        <w:pStyle w:val="Heading3"/>
        <w:numPr>
          <w:ilvl w:val="0"/>
          <w:numId w:val="28"/>
        </w:numPr>
        <w:rPr>
          <w:rFonts w:ascii="Cambria" w:hAnsi="Cambria"/>
          <w:lang w:val="en-GB"/>
        </w:rPr>
      </w:pPr>
      <w:bookmarkStart w:id="240" w:name="_Toc496166850"/>
      <w:bookmarkStart w:id="241" w:name="_Toc12973041"/>
      <w:bookmarkStart w:id="242" w:name="_Toc13755768"/>
      <w:r w:rsidRPr="00C243CD">
        <w:rPr>
          <w:rFonts w:ascii="Cambria" w:hAnsi="Cambria"/>
          <w:lang w:val="en-GB"/>
        </w:rPr>
        <w:t>Level</w:t>
      </w:r>
      <w:r w:rsidR="007914AD" w:rsidRPr="00C243CD">
        <w:rPr>
          <w:rFonts w:ascii="Cambria" w:hAnsi="Cambria"/>
          <w:lang w:val="en-GB"/>
        </w:rPr>
        <w:t xml:space="preserve"> 2 checks</w:t>
      </w:r>
      <w:bookmarkEnd w:id="240"/>
      <w:bookmarkEnd w:id="241"/>
      <w:bookmarkEnd w:id="242"/>
    </w:p>
    <w:p w14:paraId="0882DE7E" w14:textId="15179676" w:rsidR="007914AD" w:rsidRPr="00C243CD" w:rsidRDefault="00CB2AF9" w:rsidP="007914AD">
      <w:pPr>
        <w:rPr>
          <w:rFonts w:ascii="Cambria" w:hAnsi="Cambria"/>
          <w:lang w:val="en-GB"/>
        </w:rPr>
      </w:pPr>
      <w:r w:rsidRPr="00C243CD">
        <w:rPr>
          <w:rFonts w:ascii="Cambria" w:hAnsi="Cambria"/>
          <w:lang w:val="en-GB"/>
        </w:rPr>
        <w:t xml:space="preserve">The second level of checks </w:t>
      </w:r>
      <w:r w:rsidR="00C30F72" w:rsidRPr="00C243CD">
        <w:rPr>
          <w:rFonts w:ascii="Cambria" w:hAnsi="Cambria"/>
          <w:lang w:val="en-GB"/>
        </w:rPr>
        <w:t>relate to consistency of the reported data</w:t>
      </w:r>
      <w:r w:rsidR="009E4087" w:rsidRPr="00C243CD">
        <w:rPr>
          <w:rFonts w:ascii="Cambria" w:hAnsi="Cambria"/>
          <w:lang w:val="en-GB"/>
        </w:rPr>
        <w:t xml:space="preserve"> and are run as part of data validations </w:t>
      </w:r>
      <w:r w:rsidR="005E419B" w:rsidRPr="005E419B">
        <w:rPr>
          <w:rFonts w:ascii="Cambria" w:hAnsi="Cambria"/>
          <w:lang w:val="en-GB"/>
        </w:rPr>
        <w:t>of XBRL instance</w:t>
      </w:r>
      <w:r w:rsidR="00C30F72" w:rsidRPr="00C243CD">
        <w:rPr>
          <w:rFonts w:ascii="Cambria" w:hAnsi="Cambria"/>
          <w:lang w:val="en-GB"/>
        </w:rPr>
        <w:t xml:space="preserve">. </w:t>
      </w:r>
      <w:r w:rsidR="009E4087" w:rsidRPr="00C243CD">
        <w:rPr>
          <w:rFonts w:ascii="Cambria" w:hAnsi="Cambria"/>
          <w:lang w:val="en-GB"/>
        </w:rPr>
        <w:t xml:space="preserve">Please refer to the  </w:t>
      </w:r>
      <w:r w:rsidR="00570D4D">
        <w:rPr>
          <w:rFonts w:ascii="Cambria" w:hAnsi="Cambria"/>
          <w:lang w:val="en-GB"/>
        </w:rPr>
        <w:t>EBA validation rules on the EBA website and the ResRep2020Validation Rule</w:t>
      </w:r>
      <w:r w:rsidR="009E4087" w:rsidRPr="00C243CD">
        <w:rPr>
          <w:rFonts w:ascii="Cambria" w:hAnsi="Cambria"/>
          <w:lang w:val="en-GB"/>
        </w:rPr>
        <w:t xml:space="preserve"> on the </w:t>
      </w:r>
      <w:hyperlink r:id="rId71" w:history="1">
        <w:r w:rsidR="0028524F" w:rsidRPr="000869FA">
          <w:rPr>
            <w:rStyle w:val="Hyperlink"/>
            <w:rFonts w:ascii="Cambria" w:hAnsi="Cambria"/>
            <w:lang w:val="en-GB"/>
          </w:rPr>
          <w:t>SRB website</w:t>
        </w:r>
      </w:hyperlink>
      <w:r w:rsidR="0028524F">
        <w:rPr>
          <w:rFonts w:ascii="Cambria" w:hAnsi="Cambria"/>
          <w:lang w:val="en-GB"/>
        </w:rPr>
        <w:t>.</w:t>
      </w:r>
    </w:p>
    <w:p w14:paraId="1A1C08DC" w14:textId="77777777" w:rsidR="007914AD" w:rsidRPr="00C243CD" w:rsidRDefault="007914AD" w:rsidP="00991041">
      <w:pPr>
        <w:pStyle w:val="Heading3"/>
        <w:numPr>
          <w:ilvl w:val="0"/>
          <w:numId w:val="28"/>
        </w:numPr>
        <w:rPr>
          <w:rFonts w:ascii="Cambria" w:hAnsi="Cambria"/>
          <w:lang w:val="en-GB"/>
        </w:rPr>
      </w:pPr>
      <w:bookmarkStart w:id="243" w:name="_Toc525720311"/>
      <w:bookmarkStart w:id="244" w:name="_Toc525720548"/>
      <w:bookmarkStart w:id="245" w:name="_Toc496166851"/>
      <w:bookmarkStart w:id="246" w:name="_Toc12973042"/>
      <w:bookmarkStart w:id="247" w:name="_Toc13755769"/>
      <w:bookmarkEnd w:id="243"/>
      <w:bookmarkEnd w:id="244"/>
      <w:r w:rsidRPr="00C243CD">
        <w:rPr>
          <w:rFonts w:ascii="Cambria" w:hAnsi="Cambria"/>
          <w:lang w:val="en-GB"/>
        </w:rPr>
        <w:t>L</w:t>
      </w:r>
      <w:r w:rsidR="004839AD" w:rsidRPr="00C243CD">
        <w:rPr>
          <w:rFonts w:ascii="Cambria" w:hAnsi="Cambria"/>
          <w:lang w:val="en-GB"/>
        </w:rPr>
        <w:t>evel</w:t>
      </w:r>
      <w:r w:rsidRPr="00C243CD">
        <w:rPr>
          <w:rFonts w:ascii="Cambria" w:hAnsi="Cambria"/>
          <w:lang w:val="en-GB"/>
        </w:rPr>
        <w:t xml:space="preserve"> 3 checks</w:t>
      </w:r>
      <w:bookmarkEnd w:id="245"/>
      <w:bookmarkEnd w:id="246"/>
      <w:bookmarkEnd w:id="247"/>
    </w:p>
    <w:p w14:paraId="408CB27E" w14:textId="1858B2FF" w:rsidR="00774685" w:rsidRPr="00C243CD" w:rsidRDefault="004839AD">
      <w:pPr>
        <w:rPr>
          <w:rFonts w:ascii="Cambria" w:hAnsi="Cambria"/>
          <w:lang w:val="en-GB"/>
        </w:rPr>
      </w:pPr>
      <w:r w:rsidRPr="00C243CD">
        <w:rPr>
          <w:rFonts w:ascii="Cambria" w:hAnsi="Cambria"/>
          <w:lang w:val="en-GB"/>
        </w:rPr>
        <w:t xml:space="preserve">After the submission process, the SRB has developed further tools to assist with the data validation. These checks </w:t>
      </w:r>
      <w:r w:rsidR="009D1F39" w:rsidRPr="00C243CD">
        <w:rPr>
          <w:rFonts w:ascii="Cambria" w:hAnsi="Cambria"/>
          <w:lang w:val="en-GB"/>
        </w:rPr>
        <w:t>may</w:t>
      </w:r>
      <w:r w:rsidRPr="00C243CD">
        <w:rPr>
          <w:rFonts w:ascii="Cambria" w:hAnsi="Cambria"/>
          <w:lang w:val="en-GB"/>
        </w:rPr>
        <w:t xml:space="preserve"> still give rise to a need for resubmission if errors are identified. A </w:t>
      </w:r>
      <w:r w:rsidR="00F8169F">
        <w:rPr>
          <w:rFonts w:ascii="Cambria" w:hAnsi="Cambria"/>
          <w:lang w:val="en-GB"/>
        </w:rPr>
        <w:t xml:space="preserve">non-exhaustive </w:t>
      </w:r>
      <w:r w:rsidRPr="00C243CD">
        <w:rPr>
          <w:rFonts w:ascii="Cambria" w:hAnsi="Cambria"/>
          <w:lang w:val="en-GB"/>
        </w:rPr>
        <w:t>list of those checks can be found below:</w:t>
      </w:r>
    </w:p>
    <w:p w14:paraId="28543D69" w14:textId="44C19942" w:rsidR="00F26A17" w:rsidRPr="00C243CD" w:rsidRDefault="00F26A17">
      <w:pPr>
        <w:rPr>
          <w:rFonts w:ascii="Cambria" w:hAnsi="Cambria"/>
          <w:lang w:val="en-GB"/>
        </w:rPr>
      </w:pPr>
    </w:p>
    <w:p w14:paraId="23775B73" w14:textId="27BFA4A1" w:rsidR="00560CA9" w:rsidRPr="00054486" w:rsidRDefault="00F26A17" w:rsidP="00054486">
      <w:pPr>
        <w:pStyle w:val="ListParagraph"/>
        <w:numPr>
          <w:ilvl w:val="1"/>
          <w:numId w:val="28"/>
        </w:numPr>
        <w:rPr>
          <w:lang w:val="en-GB"/>
        </w:rPr>
      </w:pPr>
      <w:r w:rsidRPr="00C243CD">
        <w:rPr>
          <w:lang w:val="en-GB"/>
        </w:rPr>
        <w:t>Verification of General Information</w:t>
      </w:r>
    </w:p>
    <w:tbl>
      <w:tblPr>
        <w:tblpPr w:leftFromText="180" w:rightFromText="180" w:vertAnchor="text" w:horzAnchor="margin" w:tblpY="43"/>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690"/>
      </w:tblGrid>
      <w:tr w:rsidR="00291B57" w:rsidRPr="00706844" w14:paraId="374D0ED7" w14:textId="77777777" w:rsidTr="00054486">
        <w:trPr>
          <w:trHeight w:val="300"/>
        </w:trPr>
        <w:tc>
          <w:tcPr>
            <w:tcW w:w="1584" w:type="dxa"/>
            <w:shd w:val="clear" w:color="auto" w:fill="auto"/>
            <w:noWrap/>
            <w:vAlign w:val="center"/>
          </w:tcPr>
          <w:p w14:paraId="3F93F24B" w14:textId="77777777" w:rsidR="00291B57" w:rsidRPr="00C243CD" w:rsidRDefault="00291B57" w:rsidP="00873CC0">
            <w:pPr>
              <w:spacing w:line="240" w:lineRule="auto"/>
              <w:rPr>
                <w:rFonts w:ascii="Cambria" w:eastAsia="Times New Roman" w:hAnsi="Cambria" w:cs="Times New Roman"/>
                <w:b/>
                <w:color w:val="000000"/>
                <w:sz w:val="18"/>
                <w:szCs w:val="18"/>
              </w:rPr>
            </w:pPr>
            <w:r w:rsidRPr="00C243CD">
              <w:rPr>
                <w:rFonts w:ascii="Cambria" w:eastAsia="Times New Roman" w:hAnsi="Cambria" w:cs="Times New Roman"/>
                <w:b/>
                <w:color w:val="000000"/>
                <w:sz w:val="18"/>
                <w:szCs w:val="18"/>
              </w:rPr>
              <w:t>LDR Tabs</w:t>
            </w:r>
          </w:p>
        </w:tc>
        <w:tc>
          <w:tcPr>
            <w:tcW w:w="6690" w:type="dxa"/>
            <w:shd w:val="clear" w:color="auto" w:fill="auto"/>
            <w:noWrap/>
            <w:vAlign w:val="center"/>
          </w:tcPr>
          <w:p w14:paraId="29C2F566" w14:textId="7E1B7273" w:rsidR="00291B57" w:rsidRPr="00C243CD" w:rsidRDefault="00291B57" w:rsidP="00873CC0">
            <w:pPr>
              <w:spacing w:line="240" w:lineRule="auto"/>
              <w:rPr>
                <w:rFonts w:ascii="Cambria" w:eastAsia="Times New Roman" w:hAnsi="Cambria" w:cs="Times New Roman"/>
                <w:b/>
                <w:color w:val="000000"/>
                <w:sz w:val="18"/>
                <w:szCs w:val="18"/>
              </w:rPr>
            </w:pPr>
            <w:r>
              <w:rPr>
                <w:rFonts w:ascii="Cambria" w:eastAsia="Times New Roman" w:hAnsi="Cambria" w:cs="Times New Roman"/>
                <w:b/>
                <w:color w:val="000000"/>
                <w:sz w:val="18"/>
                <w:szCs w:val="18"/>
              </w:rPr>
              <w:t>Description of the check</w:t>
            </w:r>
          </w:p>
        </w:tc>
      </w:tr>
      <w:tr w:rsidR="00291B57" w:rsidRPr="00E43D3D" w14:paraId="705358F7" w14:textId="77777777" w:rsidTr="00054486">
        <w:trPr>
          <w:trHeight w:val="300"/>
        </w:trPr>
        <w:tc>
          <w:tcPr>
            <w:tcW w:w="1584" w:type="dxa"/>
            <w:shd w:val="clear" w:color="auto" w:fill="auto"/>
            <w:noWrap/>
            <w:vAlign w:val="center"/>
          </w:tcPr>
          <w:p w14:paraId="6A769165" w14:textId="47E571A6" w:rsidR="00291B57" w:rsidRPr="00C243CD" w:rsidRDefault="00291B57" w:rsidP="00873CC0">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w:t>
            </w:r>
            <w:r>
              <w:rPr>
                <w:rFonts w:ascii="Cambria" w:eastAsia="Times New Roman" w:hAnsi="Cambria" w:cs="Times New Roman"/>
                <w:color w:val="000000"/>
                <w:sz w:val="18"/>
                <w:szCs w:val="18"/>
              </w:rPr>
              <w:t>99</w:t>
            </w:r>
            <w:r w:rsidRPr="00C243CD">
              <w:rPr>
                <w:rFonts w:ascii="Cambria" w:eastAsia="Times New Roman" w:hAnsi="Cambria" w:cs="Times New Roman"/>
                <w:color w:val="000000"/>
                <w:sz w:val="18"/>
                <w:szCs w:val="18"/>
              </w:rPr>
              <w:t>.0</w:t>
            </w:r>
            <w:r>
              <w:rPr>
                <w:rFonts w:ascii="Cambria" w:eastAsia="Times New Roman" w:hAnsi="Cambria" w:cs="Times New Roman"/>
                <w:color w:val="000000"/>
                <w:sz w:val="18"/>
                <w:szCs w:val="18"/>
              </w:rPr>
              <w:t>0</w:t>
            </w:r>
          </w:p>
        </w:tc>
        <w:tc>
          <w:tcPr>
            <w:tcW w:w="6690" w:type="dxa"/>
            <w:shd w:val="clear" w:color="auto" w:fill="auto"/>
            <w:noWrap/>
            <w:vAlign w:val="center"/>
          </w:tcPr>
          <w:p w14:paraId="61B4CE18" w14:textId="77777777" w:rsidR="00291B57" w:rsidRPr="00C243CD" w:rsidRDefault="00291B57" w:rsidP="00873CC0">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Confirm accounting standard (national GAAP or IFRS)</w:t>
            </w:r>
          </w:p>
        </w:tc>
      </w:tr>
      <w:tr w:rsidR="00291B57" w:rsidRPr="00706844" w14:paraId="31C2BC25" w14:textId="77777777" w:rsidTr="00054486">
        <w:trPr>
          <w:trHeight w:val="300"/>
        </w:trPr>
        <w:tc>
          <w:tcPr>
            <w:tcW w:w="1584" w:type="dxa"/>
            <w:shd w:val="clear" w:color="auto" w:fill="auto"/>
            <w:noWrap/>
            <w:vAlign w:val="center"/>
            <w:hideMark/>
          </w:tcPr>
          <w:p w14:paraId="47B7AE48" w14:textId="3A6E0BAA" w:rsidR="00291B57" w:rsidRPr="00C243CD" w:rsidRDefault="00291B57" w:rsidP="00873CC0">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w:t>
            </w:r>
            <w:r>
              <w:rPr>
                <w:rFonts w:ascii="Cambria" w:eastAsia="Times New Roman" w:hAnsi="Cambria" w:cs="Times New Roman"/>
                <w:color w:val="000000"/>
                <w:sz w:val="18"/>
                <w:szCs w:val="18"/>
              </w:rPr>
              <w:t>99</w:t>
            </w:r>
            <w:r w:rsidRPr="00C243CD">
              <w:rPr>
                <w:rFonts w:ascii="Cambria" w:eastAsia="Times New Roman" w:hAnsi="Cambria" w:cs="Times New Roman"/>
                <w:color w:val="000000"/>
                <w:sz w:val="18"/>
                <w:szCs w:val="18"/>
              </w:rPr>
              <w:t>.</w:t>
            </w:r>
            <w:r>
              <w:rPr>
                <w:rFonts w:ascii="Cambria" w:eastAsia="Times New Roman" w:hAnsi="Cambria" w:cs="Times New Roman"/>
                <w:color w:val="000000"/>
                <w:sz w:val="18"/>
                <w:szCs w:val="18"/>
              </w:rPr>
              <w:t>00</w:t>
            </w:r>
          </w:p>
        </w:tc>
        <w:tc>
          <w:tcPr>
            <w:tcW w:w="6690" w:type="dxa"/>
            <w:shd w:val="clear" w:color="auto" w:fill="auto"/>
            <w:noWrap/>
            <w:vAlign w:val="center"/>
            <w:hideMark/>
          </w:tcPr>
          <w:p w14:paraId="6CA5DAAB" w14:textId="77777777" w:rsidR="00291B57" w:rsidRPr="00C243CD" w:rsidRDefault="00291B57" w:rsidP="00873CC0">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Confirm Art. 7 CRR Waiver</w:t>
            </w:r>
          </w:p>
        </w:tc>
      </w:tr>
      <w:tr w:rsidR="00291B57" w:rsidRPr="00E43D3D" w14:paraId="3834B471" w14:textId="77777777" w:rsidTr="00054486">
        <w:trPr>
          <w:trHeight w:val="300"/>
        </w:trPr>
        <w:tc>
          <w:tcPr>
            <w:tcW w:w="1584" w:type="dxa"/>
            <w:shd w:val="clear" w:color="auto" w:fill="auto"/>
            <w:noWrap/>
            <w:vAlign w:val="center"/>
            <w:hideMark/>
          </w:tcPr>
          <w:p w14:paraId="46986747" w14:textId="2AC239DF" w:rsidR="00291B57" w:rsidRPr="00C243CD" w:rsidRDefault="00291B57" w:rsidP="00873CC0">
            <w:pPr>
              <w:spacing w:line="240" w:lineRule="auto"/>
              <w:rPr>
                <w:rFonts w:ascii="Cambria" w:eastAsia="Times New Roman" w:hAnsi="Cambria" w:cs="Times New Roman"/>
                <w:color w:val="000000"/>
                <w:sz w:val="18"/>
                <w:szCs w:val="18"/>
              </w:rPr>
            </w:pPr>
            <w:r>
              <w:rPr>
                <w:rFonts w:ascii="Cambria" w:eastAsia="Times New Roman" w:hAnsi="Cambria" w:cs="Times New Roman"/>
                <w:color w:val="000000"/>
                <w:sz w:val="18"/>
                <w:szCs w:val="18"/>
              </w:rPr>
              <w:t>T03.01 to T08.00</w:t>
            </w:r>
          </w:p>
        </w:tc>
        <w:tc>
          <w:tcPr>
            <w:tcW w:w="6690" w:type="dxa"/>
            <w:shd w:val="clear" w:color="auto" w:fill="auto"/>
            <w:noWrap/>
            <w:vAlign w:val="center"/>
            <w:hideMark/>
          </w:tcPr>
          <w:p w14:paraId="5FBEDD17" w14:textId="55C4DC15" w:rsidR="00291B57" w:rsidRPr="00C243CD" w:rsidRDefault="00291B57" w:rsidP="00873CC0">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Confirm with the NRA the Insolvency ranking consistency across the tabs</w:t>
            </w:r>
          </w:p>
        </w:tc>
      </w:tr>
    </w:tbl>
    <w:p w14:paraId="0874FE10" w14:textId="77777777" w:rsidR="00F26A17" w:rsidRPr="00291B57" w:rsidRDefault="00F26A17" w:rsidP="00054486">
      <w:pPr>
        <w:rPr>
          <w:lang w:val="en-GB"/>
        </w:rPr>
      </w:pPr>
    </w:p>
    <w:p w14:paraId="305BD99B" w14:textId="77777777" w:rsidR="00291B57" w:rsidRDefault="00291B57" w:rsidP="00873CC0">
      <w:pPr>
        <w:pStyle w:val="ListParagraph"/>
        <w:ind w:left="1080"/>
        <w:rPr>
          <w:lang w:val="en-GB"/>
        </w:rPr>
      </w:pPr>
    </w:p>
    <w:p w14:paraId="3AE696BF" w14:textId="626EFF4E" w:rsidR="00291B57" w:rsidRDefault="00291B57" w:rsidP="00054486">
      <w:pPr>
        <w:ind w:left="360"/>
        <w:rPr>
          <w:lang w:val="en-GB"/>
        </w:rPr>
      </w:pPr>
    </w:p>
    <w:p w14:paraId="61338A93" w14:textId="77777777" w:rsidR="00873CC0" w:rsidRPr="00873CC0" w:rsidRDefault="00873CC0" w:rsidP="00054486">
      <w:pPr>
        <w:ind w:left="360"/>
        <w:rPr>
          <w:lang w:val="en-GB"/>
        </w:rPr>
      </w:pPr>
    </w:p>
    <w:p w14:paraId="3CE29031" w14:textId="0003DE4E" w:rsidR="00560CA9" w:rsidRPr="00054486" w:rsidRDefault="00F26A17" w:rsidP="00054486">
      <w:pPr>
        <w:pStyle w:val="ListParagraph"/>
        <w:numPr>
          <w:ilvl w:val="1"/>
          <w:numId w:val="28"/>
        </w:numPr>
        <w:rPr>
          <w:lang w:val="en-GB"/>
        </w:rPr>
      </w:pPr>
      <w:r w:rsidRPr="00C243CD">
        <w:rPr>
          <w:lang w:val="en-GB"/>
        </w:rPr>
        <w:t>Reconciliation with Prudential Values</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04"/>
        <w:gridCol w:w="7063"/>
      </w:tblGrid>
      <w:tr w:rsidR="00F26A17" w:rsidRPr="00706844" w14:paraId="18F67109" w14:textId="77777777" w:rsidTr="00C243CD">
        <w:trPr>
          <w:trHeight w:val="300"/>
        </w:trPr>
        <w:tc>
          <w:tcPr>
            <w:tcW w:w="2004" w:type="dxa"/>
            <w:shd w:val="clear" w:color="auto" w:fill="FFFFFF" w:themeFill="background1"/>
            <w:noWrap/>
            <w:vAlign w:val="center"/>
          </w:tcPr>
          <w:p w14:paraId="4D5A165D" w14:textId="77777777" w:rsidR="00F26A17" w:rsidRPr="00C243CD" w:rsidRDefault="00F26A17" w:rsidP="00873CC0">
            <w:pPr>
              <w:spacing w:line="240" w:lineRule="auto"/>
              <w:rPr>
                <w:rFonts w:ascii="Cambria" w:eastAsia="Times New Roman" w:hAnsi="Cambria" w:cs="Times New Roman"/>
                <w:b/>
                <w:color w:val="000000"/>
                <w:sz w:val="18"/>
                <w:szCs w:val="18"/>
              </w:rPr>
            </w:pPr>
            <w:r w:rsidRPr="00C243CD">
              <w:rPr>
                <w:rFonts w:ascii="Cambria" w:eastAsia="Times New Roman" w:hAnsi="Cambria" w:cs="Times New Roman"/>
                <w:b/>
                <w:color w:val="000000"/>
                <w:sz w:val="18"/>
                <w:szCs w:val="18"/>
              </w:rPr>
              <w:t>LDR Reference</w:t>
            </w:r>
          </w:p>
        </w:tc>
        <w:tc>
          <w:tcPr>
            <w:tcW w:w="7063" w:type="dxa"/>
            <w:shd w:val="clear" w:color="auto" w:fill="FFFFFF" w:themeFill="background1"/>
            <w:noWrap/>
            <w:vAlign w:val="center"/>
          </w:tcPr>
          <w:p w14:paraId="1418DD82" w14:textId="77777777" w:rsidR="00F26A17" w:rsidRPr="00C243CD" w:rsidRDefault="00F26A17" w:rsidP="00873CC0">
            <w:pPr>
              <w:spacing w:line="240" w:lineRule="auto"/>
              <w:rPr>
                <w:rFonts w:ascii="Cambria" w:eastAsia="Times New Roman" w:hAnsi="Cambria" w:cs="Times New Roman"/>
                <w:b/>
                <w:color w:val="000000"/>
                <w:sz w:val="18"/>
                <w:szCs w:val="18"/>
              </w:rPr>
            </w:pPr>
            <w:r w:rsidRPr="00C243CD">
              <w:rPr>
                <w:rFonts w:ascii="Cambria" w:eastAsia="Times New Roman" w:hAnsi="Cambria" w:cs="Times New Roman"/>
                <w:b/>
                <w:color w:val="000000"/>
                <w:sz w:val="18"/>
                <w:szCs w:val="18"/>
              </w:rPr>
              <w:t>COREP/FINREP/SREP checks</w:t>
            </w:r>
          </w:p>
        </w:tc>
      </w:tr>
      <w:tr w:rsidR="00F26A17" w:rsidRPr="00E43D3D" w14:paraId="54565012"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5B3193" w14:textId="77777777" w:rsidR="00F26A17" w:rsidRPr="00C243CD" w:rsidRDefault="00F26A17" w:rsidP="00873CC0">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T01.00-r0500-c0122</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899CEE" w14:textId="77777777" w:rsidR="00F26A17" w:rsidRPr="00C243CD" w:rsidRDefault="00F26A17" w:rsidP="00873CC0">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Own Funds in LDR with COREP C01.00-010-010</w:t>
            </w:r>
          </w:p>
        </w:tc>
      </w:tr>
      <w:tr w:rsidR="00F26A17" w:rsidRPr="00E43D3D" w14:paraId="33742B14"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4A94D0" w14:textId="77777777" w:rsidR="00F26A17" w:rsidRPr="00C243CD" w:rsidRDefault="00F26A17" w:rsidP="00873CC0">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T01.00-r0510-c0122</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3BB3F8" w14:textId="77777777" w:rsidR="00F26A17" w:rsidRPr="00C243CD" w:rsidRDefault="00F26A17" w:rsidP="00873CC0">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CET1 in LDR against COREP C01.00-020-010</w:t>
            </w:r>
          </w:p>
        </w:tc>
      </w:tr>
      <w:tr w:rsidR="00F26A17" w:rsidRPr="00E43D3D" w14:paraId="3DDB9141"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A56D05" w14:textId="77777777" w:rsidR="00F26A17" w:rsidRPr="00C243CD" w:rsidRDefault="00F26A17" w:rsidP="00873CC0">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T01.00-r0520-c0122</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5408A0" w14:textId="77777777" w:rsidR="00F26A17" w:rsidRPr="00C243CD" w:rsidRDefault="00F26A17" w:rsidP="00873CC0">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AT1 in the LDR against  COREP C01.00-530-010</w:t>
            </w:r>
          </w:p>
        </w:tc>
      </w:tr>
      <w:tr w:rsidR="00F26A17" w:rsidRPr="00E43D3D" w14:paraId="5EFB4BD9"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604E1F"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T01.00-r0530-c0122</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1B722"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T2 in the LDR against  COREP C01.00-750-010</w:t>
            </w:r>
          </w:p>
        </w:tc>
      </w:tr>
      <w:tr w:rsidR="00F26A17" w:rsidRPr="00E43D3D" w14:paraId="2E203B54"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999C05"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T01.00-r1000-c0122</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036400"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Leverage Exposure in the LDR against COREP C47.00-290-010</w:t>
            </w:r>
          </w:p>
        </w:tc>
      </w:tr>
      <w:tr w:rsidR="00F26A17" w:rsidRPr="00E43D3D" w14:paraId="0E7B7D4D"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90CB80"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T01.00-r0700-c0121</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4CB589" w14:textId="77777777" w:rsidR="00352F51" w:rsidRDefault="00F26A17" w:rsidP="00352F51">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 xml:space="preserve">Off Balance Sheet exposures in LDR against FINREP </w:t>
            </w:r>
          </w:p>
          <w:p w14:paraId="1CFF2FED" w14:textId="497CBC32" w:rsidR="00352F51" w:rsidRPr="00352F51" w:rsidRDefault="00352F51" w:rsidP="00352F51">
            <w:pPr>
              <w:spacing w:line="240" w:lineRule="auto"/>
              <w:rPr>
                <w:rFonts w:ascii="Cambria" w:eastAsia="Times New Roman" w:hAnsi="Cambria" w:cs="Times New Roman"/>
                <w:color w:val="000000"/>
                <w:sz w:val="18"/>
                <w:szCs w:val="18"/>
                <w:lang w:val="en-GB"/>
              </w:rPr>
            </w:pPr>
            <w:r w:rsidRPr="00352F51">
              <w:rPr>
                <w:rFonts w:ascii="Cambria" w:eastAsia="Times New Roman" w:hAnsi="Cambria" w:cs="Times New Roman"/>
                <w:color w:val="000000"/>
                <w:sz w:val="18"/>
                <w:szCs w:val="18"/>
                <w:lang w:val="en-GB"/>
              </w:rPr>
              <w:t>-</w:t>
            </w:r>
            <w:r w:rsidRPr="00352F51">
              <w:rPr>
                <w:rFonts w:ascii="Cambria" w:eastAsia="Times New Roman" w:hAnsi="Cambria" w:cs="Times New Roman"/>
                <w:color w:val="000000"/>
                <w:sz w:val="18"/>
                <w:szCs w:val="18"/>
                <w:lang w:val="en-GB"/>
              </w:rPr>
              <w:tab/>
              <w:t>If table 9.1: F09.01-010-010 + F09.01-090-010 + F09.01-170-010</w:t>
            </w:r>
          </w:p>
          <w:p w14:paraId="3EDBBA01" w14:textId="5AB3247C" w:rsidR="00F26A17" w:rsidRPr="00C243CD" w:rsidRDefault="00352F51" w:rsidP="00352F51">
            <w:pPr>
              <w:spacing w:line="240" w:lineRule="auto"/>
              <w:rPr>
                <w:rFonts w:ascii="Cambria" w:eastAsia="Times New Roman" w:hAnsi="Cambria" w:cs="Times New Roman"/>
                <w:color w:val="000000"/>
                <w:sz w:val="18"/>
                <w:szCs w:val="18"/>
                <w:lang w:val="en-GB"/>
              </w:rPr>
            </w:pPr>
            <w:r w:rsidRPr="00352F51">
              <w:rPr>
                <w:rFonts w:ascii="Cambria" w:eastAsia="Times New Roman" w:hAnsi="Cambria" w:cs="Times New Roman"/>
                <w:color w:val="000000"/>
                <w:sz w:val="18"/>
                <w:szCs w:val="18"/>
                <w:lang w:val="en-GB"/>
              </w:rPr>
              <w:t>-</w:t>
            </w:r>
            <w:r w:rsidRPr="00352F51">
              <w:rPr>
                <w:rFonts w:ascii="Cambria" w:eastAsia="Times New Roman" w:hAnsi="Cambria" w:cs="Times New Roman"/>
                <w:color w:val="000000"/>
                <w:sz w:val="18"/>
                <w:szCs w:val="18"/>
                <w:lang w:val="en-GB"/>
              </w:rPr>
              <w:tab/>
              <w:t>If table 9.1.1: F09.01-010-010/020/030/100/120 + F09.01-090-010/020/030/100/120 + F09.01-170-010/020/030/100/120</w:t>
            </w:r>
          </w:p>
        </w:tc>
      </w:tr>
      <w:tr w:rsidR="00F26A17" w:rsidRPr="00E43D3D" w14:paraId="01804E0C"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82AAA5"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T01.00-r0800-c0121</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D95435"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Total Equity in LDR against FINREP F01.03-300-010</w:t>
            </w:r>
          </w:p>
        </w:tc>
      </w:tr>
      <w:tr w:rsidR="00F26A17" w:rsidRPr="00E43D3D" w14:paraId="3E152FBB"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EDF34"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T01.00-r0900-c0121</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059440"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Total Assets in LDR against FINREP F01.01-380-010</w:t>
            </w:r>
          </w:p>
        </w:tc>
      </w:tr>
      <w:tr w:rsidR="00F26A17" w:rsidRPr="00E43D3D" w14:paraId="4837467D"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D4FE46"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T01.00-r0330-c0121</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2BA3C9"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Balance sheet liabilities arising from derivatives in LDR against FINREP F01.02-020-010 + F01.02-150-010</w:t>
            </w:r>
          </w:p>
        </w:tc>
      </w:tr>
      <w:tr w:rsidR="00F26A17" w:rsidRPr="00E43D3D" w14:paraId="71461205"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97F59E"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T02.00-r0100-c0010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B65775"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Transitional Total Risk Exposure Amount in LDR against COREP (C02.00-010-010)</w:t>
            </w:r>
          </w:p>
        </w:tc>
      </w:tr>
      <w:tr w:rsidR="00F26A17" w:rsidRPr="00E43D3D" w14:paraId="384C2606"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2E46F3"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T02.00-r0100-c0020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6498F2"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Fully-loaded Total Risk Exposure Amount in LDR against COREP (C02.00-010-010 minus C05.01-010-c040)</w:t>
            </w:r>
          </w:p>
        </w:tc>
      </w:tr>
      <w:tr w:rsidR="00F26A17" w:rsidRPr="00E43D3D" w14:paraId="40BA5148"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2B5D18"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T02.00-r0400-c0010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9F277A"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CBR in the LDR against COREP C04.00-740-010</w:t>
            </w:r>
          </w:p>
        </w:tc>
      </w:tr>
      <w:tr w:rsidR="00F26A17" w:rsidRPr="00E43D3D" w14:paraId="6049008D"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CD0874"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T02.00-r0410-c0010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CA270D"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Capital Conservation Buffer in the LDR against COREP C04.00-750-010</w:t>
            </w:r>
          </w:p>
        </w:tc>
      </w:tr>
      <w:tr w:rsidR="00F26A17" w:rsidRPr="00E43D3D" w14:paraId="107829D3"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A71177"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T02.00-r0420-c0010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55DFD2"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Institution-Specific Countercyclical Capital Buffer in the LDR against COREP C04.00-770-010</w:t>
            </w:r>
          </w:p>
        </w:tc>
      </w:tr>
      <w:tr w:rsidR="00F26A17" w:rsidRPr="00E43D3D" w14:paraId="6EEE981E"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E92F68"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T02.00-r0430-c0010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CCABFB"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Systemic Risk Buffer in the LDR against COREP C04.00-780-010</w:t>
            </w:r>
          </w:p>
        </w:tc>
      </w:tr>
      <w:tr w:rsidR="00F26A17" w:rsidRPr="00E43D3D" w14:paraId="315B5F23"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4EB23B"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T02.00-r0440-c0010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185AAD"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G-SII Buffer in the LDR against COREP C04.00-800-010</w:t>
            </w:r>
          </w:p>
        </w:tc>
      </w:tr>
      <w:tr w:rsidR="00F26A17" w:rsidRPr="00E43D3D" w14:paraId="17A941E6"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5D95B6"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T02.00-r0450-c0010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453259" w14:textId="77777777"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O-SII Buffer in the LDR against COREP C04.00-810-010</w:t>
            </w:r>
          </w:p>
        </w:tc>
      </w:tr>
      <w:tr w:rsidR="00F26A17" w:rsidRPr="00E43D3D" w14:paraId="509CDCC3"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51C58F"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T02.00-r0310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14D0DA" w14:textId="2DE68413"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 xml:space="preserve">Pillar 2 Requirement in LDR against SREP </w:t>
            </w:r>
            <w:r w:rsidR="009B75D1">
              <w:rPr>
                <w:rFonts w:ascii="Cambria" w:eastAsia="Times New Roman" w:hAnsi="Cambria" w:cs="Times New Roman"/>
                <w:color w:val="000000"/>
                <w:sz w:val="18"/>
                <w:szCs w:val="18"/>
                <w:lang w:val="en-GB"/>
              </w:rPr>
              <w:t>l</w:t>
            </w:r>
            <w:r w:rsidRPr="00C243CD">
              <w:rPr>
                <w:rFonts w:ascii="Cambria" w:eastAsia="Times New Roman" w:hAnsi="Cambria" w:cs="Times New Roman"/>
                <w:color w:val="000000"/>
                <w:sz w:val="18"/>
                <w:szCs w:val="18"/>
                <w:lang w:val="en-GB"/>
              </w:rPr>
              <w:t>etter</w:t>
            </w:r>
            <w:r w:rsidR="009B75D1">
              <w:rPr>
                <w:rFonts w:ascii="Cambria" w:eastAsia="Times New Roman" w:hAnsi="Cambria" w:cs="Times New Roman"/>
                <w:color w:val="000000"/>
                <w:sz w:val="18"/>
                <w:szCs w:val="18"/>
                <w:lang w:val="en-GB"/>
              </w:rPr>
              <w:t xml:space="preserve"> received by the institution</w:t>
            </w:r>
          </w:p>
        </w:tc>
      </w:tr>
      <w:tr w:rsidR="00F26A17" w:rsidRPr="00E43D3D" w14:paraId="3AABDCCC" w14:textId="77777777" w:rsidTr="00C243CD">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E0D12" w14:textId="77777777" w:rsidR="00F26A17" w:rsidRPr="00C243CD" w:rsidRDefault="00F26A1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lastRenderedPageBreak/>
              <w:t>T02.00-r0320</w:t>
            </w:r>
          </w:p>
        </w:tc>
        <w:tc>
          <w:tcPr>
            <w:tcW w:w="7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D8290D" w14:textId="7F658E3C" w:rsidR="00F26A17" w:rsidRPr="00C243CD" w:rsidRDefault="00F26A1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 xml:space="preserve">Pillar 2 Guidance in LDR against SREP </w:t>
            </w:r>
            <w:r w:rsidR="009B75D1">
              <w:rPr>
                <w:rFonts w:ascii="Cambria" w:eastAsia="Times New Roman" w:hAnsi="Cambria" w:cs="Times New Roman"/>
                <w:color w:val="000000"/>
                <w:sz w:val="18"/>
                <w:szCs w:val="18"/>
                <w:lang w:val="en-GB"/>
              </w:rPr>
              <w:t>l</w:t>
            </w:r>
            <w:r w:rsidRPr="00C243CD">
              <w:rPr>
                <w:rFonts w:ascii="Cambria" w:eastAsia="Times New Roman" w:hAnsi="Cambria" w:cs="Times New Roman"/>
                <w:color w:val="000000"/>
                <w:sz w:val="18"/>
                <w:szCs w:val="18"/>
                <w:lang w:val="en-GB"/>
              </w:rPr>
              <w:t>etter</w:t>
            </w:r>
            <w:r w:rsidR="009B75D1">
              <w:rPr>
                <w:rFonts w:ascii="Cambria" w:eastAsia="Times New Roman" w:hAnsi="Cambria" w:cs="Times New Roman"/>
                <w:color w:val="000000"/>
                <w:sz w:val="18"/>
                <w:szCs w:val="18"/>
                <w:lang w:val="en-GB"/>
              </w:rPr>
              <w:t xml:space="preserve"> received by the institution</w:t>
            </w:r>
          </w:p>
        </w:tc>
      </w:tr>
    </w:tbl>
    <w:p w14:paraId="2E9A5F92" w14:textId="77777777" w:rsidR="00F26A17" w:rsidRPr="00706844" w:rsidRDefault="00F26A17" w:rsidP="00C243CD">
      <w:pPr>
        <w:pStyle w:val="ListParagraph"/>
        <w:ind w:left="1080"/>
        <w:rPr>
          <w:lang w:val="en-GB"/>
        </w:rPr>
      </w:pPr>
    </w:p>
    <w:p w14:paraId="677642B2" w14:textId="77777777" w:rsidR="00F26A17" w:rsidRPr="00706844" w:rsidRDefault="00F26A17" w:rsidP="00C243CD">
      <w:pPr>
        <w:pStyle w:val="ListParagraph"/>
        <w:ind w:left="1080"/>
        <w:rPr>
          <w:lang w:val="en-GB"/>
        </w:rPr>
      </w:pPr>
    </w:p>
    <w:p w14:paraId="425E435F" w14:textId="77777777" w:rsidR="00291B57" w:rsidRDefault="00291B57" w:rsidP="00054486">
      <w:pPr>
        <w:pStyle w:val="ListParagraph"/>
        <w:ind w:left="1080"/>
        <w:rPr>
          <w:lang w:val="en-GB"/>
        </w:rPr>
      </w:pPr>
    </w:p>
    <w:p w14:paraId="6913DE6B" w14:textId="103C24B6" w:rsidR="00291B57" w:rsidRDefault="00291B57" w:rsidP="00054486">
      <w:pPr>
        <w:pStyle w:val="ListParagraph"/>
        <w:ind w:left="1080"/>
        <w:rPr>
          <w:lang w:val="en-GB"/>
        </w:rPr>
      </w:pPr>
    </w:p>
    <w:p w14:paraId="6E5903B3" w14:textId="77777777" w:rsidR="00F85337" w:rsidRDefault="00F85337" w:rsidP="00054486">
      <w:pPr>
        <w:pStyle w:val="ListParagraph"/>
        <w:ind w:left="1080"/>
        <w:rPr>
          <w:lang w:val="en-GB"/>
        </w:rPr>
      </w:pPr>
    </w:p>
    <w:p w14:paraId="61B73ED1" w14:textId="77777777" w:rsidR="00291B57" w:rsidRDefault="00291B57" w:rsidP="00054486">
      <w:pPr>
        <w:pStyle w:val="ListParagraph"/>
        <w:ind w:left="1080"/>
        <w:rPr>
          <w:lang w:val="en-GB"/>
        </w:rPr>
      </w:pPr>
    </w:p>
    <w:p w14:paraId="207D2C02" w14:textId="758746E2" w:rsidR="00F26A17" w:rsidRPr="00706844" w:rsidRDefault="00F26A17" w:rsidP="00C243CD">
      <w:pPr>
        <w:pStyle w:val="ListParagraph"/>
        <w:numPr>
          <w:ilvl w:val="1"/>
          <w:numId w:val="28"/>
        </w:numPr>
        <w:rPr>
          <w:lang w:val="en-GB"/>
        </w:rPr>
      </w:pPr>
      <w:r w:rsidRPr="00C243CD">
        <w:rPr>
          <w:lang w:val="en-GB"/>
        </w:rPr>
        <w:t>Completeness Checks</w:t>
      </w:r>
    </w:p>
    <w:p w14:paraId="7D1A5A0C" w14:textId="30CB3AD7" w:rsidR="00706844" w:rsidRPr="00054486" w:rsidRDefault="009B75D1" w:rsidP="009B75D1">
      <w:pPr>
        <w:pStyle w:val="ListParagraph"/>
        <w:ind w:left="284"/>
        <w:rPr>
          <w:rFonts w:eastAsiaTheme="minorHAnsi" w:cstheme="minorBidi"/>
          <w:sz w:val="20"/>
          <w:szCs w:val="20"/>
          <w:lang w:val="en-GB"/>
        </w:rPr>
      </w:pPr>
      <w:r>
        <w:rPr>
          <w:rFonts w:eastAsiaTheme="minorHAnsi" w:cstheme="minorBidi"/>
          <w:sz w:val="20"/>
          <w:szCs w:val="20"/>
          <w:lang w:val="en-GB"/>
        </w:rPr>
        <w:t xml:space="preserve">A large part of the completeness checks are </w:t>
      </w:r>
      <w:r w:rsidR="00984D67">
        <w:rPr>
          <w:rFonts w:eastAsiaTheme="minorHAnsi" w:cstheme="minorBidi"/>
          <w:sz w:val="20"/>
          <w:szCs w:val="20"/>
          <w:lang w:val="en-GB"/>
        </w:rPr>
        <w:t xml:space="preserve">already </w:t>
      </w:r>
      <w:r>
        <w:rPr>
          <w:rFonts w:eastAsiaTheme="minorHAnsi" w:cstheme="minorBidi"/>
          <w:sz w:val="20"/>
          <w:szCs w:val="20"/>
          <w:lang w:val="en-GB"/>
        </w:rPr>
        <w:t xml:space="preserve">covered by the </w:t>
      </w:r>
      <w:r w:rsidR="00E160CA">
        <w:rPr>
          <w:rFonts w:eastAsiaTheme="minorHAnsi" w:cstheme="minorBidi"/>
          <w:sz w:val="20"/>
          <w:szCs w:val="20"/>
          <w:lang w:val="en-GB"/>
        </w:rPr>
        <w:t>automated checks (Level 1 and Level 2</w:t>
      </w:r>
      <w:r w:rsidR="00984D67">
        <w:rPr>
          <w:rFonts w:eastAsiaTheme="minorHAnsi" w:cstheme="minorBidi"/>
          <w:sz w:val="20"/>
          <w:szCs w:val="20"/>
          <w:lang w:val="en-GB"/>
        </w:rPr>
        <w:t xml:space="preserve"> – see above</w:t>
      </w:r>
      <w:r w:rsidR="00E160CA">
        <w:rPr>
          <w:rFonts w:eastAsiaTheme="minorHAnsi" w:cstheme="minorBidi"/>
          <w:sz w:val="20"/>
          <w:szCs w:val="20"/>
          <w:lang w:val="en-GB"/>
        </w:rPr>
        <w:t>). However, the IRT’s can perform additional checks as listed in the table below:</w:t>
      </w:r>
    </w:p>
    <w:tbl>
      <w:tblPr>
        <w:tblpPr w:leftFromText="180" w:rightFromText="180" w:vertAnchor="text" w:horzAnchor="margin" w:tblpY="128"/>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7466"/>
      </w:tblGrid>
      <w:tr w:rsidR="00291B57" w:rsidRPr="00E43D3D" w14:paraId="70FF63D8" w14:textId="77777777" w:rsidTr="00054486">
        <w:trPr>
          <w:trHeight w:val="300"/>
        </w:trPr>
        <w:tc>
          <w:tcPr>
            <w:tcW w:w="1566" w:type="dxa"/>
            <w:shd w:val="clear" w:color="auto" w:fill="auto"/>
            <w:noWrap/>
            <w:vAlign w:val="center"/>
          </w:tcPr>
          <w:p w14:paraId="14B750C1" w14:textId="77777777" w:rsidR="00291B57" w:rsidRPr="00C243CD" w:rsidRDefault="00291B57" w:rsidP="00F26A17">
            <w:pPr>
              <w:spacing w:line="240" w:lineRule="auto"/>
              <w:rPr>
                <w:rFonts w:ascii="Cambria" w:eastAsia="Times New Roman" w:hAnsi="Cambria" w:cs="Times New Roman"/>
                <w:b/>
                <w:color w:val="000000"/>
                <w:sz w:val="18"/>
                <w:szCs w:val="18"/>
              </w:rPr>
            </w:pPr>
            <w:r w:rsidRPr="00C243CD">
              <w:rPr>
                <w:rFonts w:ascii="Cambria" w:eastAsia="Times New Roman" w:hAnsi="Cambria" w:cs="Times New Roman"/>
                <w:b/>
                <w:color w:val="000000"/>
                <w:sz w:val="18"/>
                <w:szCs w:val="18"/>
              </w:rPr>
              <w:t>LDR Tabs</w:t>
            </w:r>
          </w:p>
        </w:tc>
        <w:tc>
          <w:tcPr>
            <w:tcW w:w="7466" w:type="dxa"/>
            <w:shd w:val="clear" w:color="auto" w:fill="auto"/>
            <w:noWrap/>
            <w:vAlign w:val="center"/>
          </w:tcPr>
          <w:p w14:paraId="57A1B090" w14:textId="760EA2FB" w:rsidR="00291B57" w:rsidRPr="00054486" w:rsidRDefault="00291B57" w:rsidP="00F26A17">
            <w:pPr>
              <w:spacing w:line="240" w:lineRule="auto"/>
              <w:rPr>
                <w:rFonts w:ascii="Cambria" w:eastAsia="Times New Roman" w:hAnsi="Cambria" w:cs="Times New Roman"/>
                <w:b/>
                <w:color w:val="000000"/>
                <w:sz w:val="18"/>
                <w:szCs w:val="18"/>
                <w:lang w:val="en-GB"/>
              </w:rPr>
            </w:pPr>
            <w:r w:rsidRPr="00054486">
              <w:rPr>
                <w:rFonts w:ascii="Cambria" w:eastAsia="Times New Roman" w:hAnsi="Cambria" w:cs="Times New Roman"/>
                <w:b/>
                <w:color w:val="000000"/>
                <w:sz w:val="18"/>
                <w:szCs w:val="18"/>
                <w:lang w:val="en-GB"/>
              </w:rPr>
              <w:t>Description of the completeness checks</w:t>
            </w:r>
          </w:p>
        </w:tc>
      </w:tr>
      <w:tr w:rsidR="00291B57" w:rsidRPr="00E43D3D" w14:paraId="31B93D9A" w14:textId="77777777" w:rsidTr="00054486">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9609F" w14:textId="77777777" w:rsidR="00291B57" w:rsidRPr="00C243CD" w:rsidRDefault="00291B57" w:rsidP="00F26A17">
            <w:pPr>
              <w:spacing w:line="240" w:lineRule="auto"/>
              <w:rPr>
                <w:rFonts w:ascii="Cambria" w:eastAsia="Times New Roman" w:hAnsi="Cambria" w:cs="Times New Roman"/>
                <w:color w:val="000000"/>
                <w:sz w:val="18"/>
                <w:szCs w:val="18"/>
              </w:rPr>
            </w:pPr>
            <w:r w:rsidRPr="00C243CD">
              <w:rPr>
                <w:rFonts w:ascii="Cambria" w:eastAsia="Times New Roman" w:hAnsi="Cambria" w:cs="Times New Roman"/>
                <w:color w:val="000000"/>
                <w:sz w:val="18"/>
                <w:szCs w:val="18"/>
              </w:rPr>
              <w:t>T03.01</w:t>
            </w:r>
          </w:p>
        </w:tc>
        <w:tc>
          <w:tcPr>
            <w:tcW w:w="7466" w:type="dxa"/>
            <w:tcBorders>
              <w:top w:val="single" w:sz="4" w:space="0" w:color="auto"/>
              <w:left w:val="single" w:sz="4" w:space="0" w:color="auto"/>
              <w:bottom w:val="single" w:sz="4" w:space="0" w:color="auto"/>
              <w:right w:val="single" w:sz="4" w:space="0" w:color="auto"/>
            </w:tcBorders>
            <w:shd w:val="clear" w:color="auto" w:fill="auto"/>
            <w:noWrap/>
          </w:tcPr>
          <w:p w14:paraId="5BDC691C" w14:textId="7026CF9F" w:rsidR="00291B57" w:rsidRPr="00C243CD" w:rsidRDefault="00291B57" w:rsidP="00F26A17">
            <w:pPr>
              <w:spacing w:line="240" w:lineRule="auto"/>
              <w:rPr>
                <w:rFonts w:ascii="Cambria" w:eastAsia="Times New Roman" w:hAnsi="Cambria" w:cs="Times New Roman"/>
                <w:color w:val="000000"/>
                <w:sz w:val="18"/>
                <w:szCs w:val="18"/>
                <w:lang w:val="en-GB"/>
              </w:rPr>
            </w:pPr>
            <w:r w:rsidRPr="00C243CD">
              <w:rPr>
                <w:rFonts w:ascii="Cambria" w:eastAsia="Times New Roman" w:hAnsi="Cambria" w:cs="Times New Roman"/>
                <w:color w:val="000000"/>
                <w:sz w:val="18"/>
                <w:szCs w:val="18"/>
                <w:lang w:val="en-GB"/>
              </w:rPr>
              <w:t xml:space="preserve">Internal identifier – </w:t>
            </w:r>
            <w:r>
              <w:rPr>
                <w:rFonts w:ascii="Cambria" w:eastAsia="Times New Roman" w:hAnsi="Cambria" w:cs="Times New Roman"/>
                <w:color w:val="000000"/>
                <w:sz w:val="18"/>
                <w:szCs w:val="18"/>
                <w:lang w:val="en-GB"/>
              </w:rPr>
              <w:t>c0040/</w:t>
            </w:r>
            <w:r w:rsidRPr="00C243CD">
              <w:rPr>
                <w:rFonts w:ascii="Cambria" w:eastAsia="Times New Roman" w:hAnsi="Cambria" w:cs="Times New Roman"/>
                <w:color w:val="000000"/>
                <w:sz w:val="18"/>
                <w:szCs w:val="18"/>
                <w:lang w:val="en-GB"/>
              </w:rPr>
              <w:t>c</w:t>
            </w:r>
            <w:r>
              <w:rPr>
                <w:rFonts w:ascii="Cambria" w:eastAsia="Times New Roman" w:hAnsi="Cambria" w:cs="Times New Roman"/>
                <w:color w:val="000000"/>
                <w:sz w:val="18"/>
                <w:szCs w:val="18"/>
                <w:lang w:val="en-GB"/>
              </w:rPr>
              <w:t>0</w:t>
            </w:r>
            <w:r w:rsidRPr="00C243CD">
              <w:rPr>
                <w:rFonts w:ascii="Cambria" w:eastAsia="Times New Roman" w:hAnsi="Cambria" w:cs="Times New Roman"/>
                <w:color w:val="000000"/>
                <w:sz w:val="18"/>
                <w:szCs w:val="18"/>
                <w:lang w:val="en-GB"/>
              </w:rPr>
              <w:t xml:space="preserve">050: </w:t>
            </w:r>
            <w:r w:rsidR="009D6050">
              <w:rPr>
                <w:rFonts w:ascii="Cambria" w:eastAsia="Times New Roman" w:hAnsi="Cambria" w:cs="Times New Roman"/>
                <w:color w:val="000000"/>
                <w:sz w:val="18"/>
                <w:szCs w:val="18"/>
                <w:lang w:val="en-GB"/>
              </w:rPr>
              <w:t>this field should not be empty</w:t>
            </w:r>
            <w:r w:rsidRPr="00C243CD">
              <w:rPr>
                <w:rFonts w:ascii="Cambria" w:eastAsia="Times New Roman" w:hAnsi="Cambria" w:cs="Times New Roman"/>
                <w:color w:val="000000"/>
                <w:sz w:val="18"/>
                <w:szCs w:val="18"/>
                <w:lang w:val="en-GB"/>
              </w:rPr>
              <w:t xml:space="preserve"> as the </w:t>
            </w:r>
            <w:r w:rsidR="009D6050">
              <w:rPr>
                <w:rFonts w:ascii="Cambria" w:eastAsia="Times New Roman" w:hAnsi="Cambria" w:cs="Times New Roman"/>
                <w:color w:val="000000"/>
                <w:sz w:val="18"/>
                <w:szCs w:val="18"/>
                <w:lang w:val="en-GB"/>
              </w:rPr>
              <w:t>institution</w:t>
            </w:r>
            <w:r w:rsidRPr="00C243CD">
              <w:rPr>
                <w:rFonts w:ascii="Cambria" w:eastAsia="Times New Roman" w:hAnsi="Cambria" w:cs="Times New Roman"/>
                <w:color w:val="000000"/>
                <w:sz w:val="18"/>
                <w:szCs w:val="18"/>
                <w:lang w:val="en-GB"/>
              </w:rPr>
              <w:t xml:space="preserve"> is expected to be able to monitor its intragroup liabilities</w:t>
            </w:r>
          </w:p>
        </w:tc>
      </w:tr>
      <w:tr w:rsidR="00291B57" w:rsidRPr="00E43D3D" w14:paraId="112801A3" w14:textId="77777777" w:rsidTr="00054486">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163E9" w14:textId="258B9060" w:rsidR="00291B57" w:rsidRPr="00C243CD" w:rsidRDefault="00291B57" w:rsidP="00F26A17">
            <w:pPr>
              <w:spacing w:line="240" w:lineRule="auto"/>
              <w:rPr>
                <w:rFonts w:ascii="Cambria" w:eastAsia="Times New Roman" w:hAnsi="Cambria" w:cs="Times New Roman"/>
                <w:color w:val="000000"/>
                <w:sz w:val="18"/>
                <w:szCs w:val="18"/>
              </w:rPr>
            </w:pPr>
            <w:r>
              <w:rPr>
                <w:rFonts w:ascii="Cambria" w:eastAsia="Times New Roman" w:hAnsi="Cambria" w:cs="Times New Roman"/>
                <w:color w:val="000000"/>
                <w:sz w:val="18"/>
                <w:szCs w:val="18"/>
              </w:rPr>
              <w:t>T05.</w:t>
            </w:r>
            <w:r w:rsidR="00570D4D">
              <w:rPr>
                <w:rFonts w:ascii="Cambria" w:eastAsia="Times New Roman" w:hAnsi="Cambria" w:cs="Times New Roman"/>
                <w:color w:val="000000"/>
                <w:sz w:val="18"/>
                <w:szCs w:val="18"/>
              </w:rPr>
              <w:t>01</w:t>
            </w:r>
          </w:p>
        </w:tc>
        <w:tc>
          <w:tcPr>
            <w:tcW w:w="7466" w:type="dxa"/>
            <w:tcBorders>
              <w:top w:val="single" w:sz="4" w:space="0" w:color="auto"/>
              <w:left w:val="single" w:sz="4" w:space="0" w:color="auto"/>
              <w:bottom w:val="single" w:sz="4" w:space="0" w:color="auto"/>
              <w:right w:val="single" w:sz="4" w:space="0" w:color="auto"/>
            </w:tcBorders>
            <w:shd w:val="clear" w:color="auto" w:fill="auto"/>
            <w:noWrap/>
          </w:tcPr>
          <w:p w14:paraId="65628F80" w14:textId="60D50430" w:rsidR="00291B57" w:rsidRPr="00C243CD" w:rsidRDefault="00291B57" w:rsidP="00F26A17">
            <w:pPr>
              <w:spacing w:line="240" w:lineRule="auto"/>
              <w:rPr>
                <w:rFonts w:ascii="Cambria" w:eastAsia="Times New Roman" w:hAnsi="Cambria" w:cs="Times New Roman"/>
                <w:color w:val="000000"/>
                <w:sz w:val="18"/>
                <w:szCs w:val="18"/>
                <w:lang w:val="en-GB"/>
              </w:rPr>
            </w:pPr>
            <w:r w:rsidRPr="00E160CA">
              <w:rPr>
                <w:rFonts w:ascii="Cambria" w:eastAsia="Times New Roman" w:hAnsi="Cambria" w:cs="Times New Roman"/>
                <w:color w:val="000000"/>
                <w:sz w:val="18"/>
                <w:szCs w:val="18"/>
                <w:lang w:val="en-GB"/>
              </w:rPr>
              <w:t xml:space="preserve">Internal </w:t>
            </w:r>
            <w:r>
              <w:rPr>
                <w:rFonts w:ascii="Cambria" w:eastAsia="Times New Roman" w:hAnsi="Cambria" w:cs="Times New Roman"/>
                <w:color w:val="000000"/>
                <w:sz w:val="18"/>
                <w:szCs w:val="18"/>
                <w:lang w:val="en-GB"/>
              </w:rPr>
              <w:t xml:space="preserve">depositor </w:t>
            </w:r>
            <w:r w:rsidRPr="00E160CA">
              <w:rPr>
                <w:rFonts w:ascii="Cambria" w:eastAsia="Times New Roman" w:hAnsi="Cambria" w:cs="Times New Roman"/>
                <w:color w:val="000000"/>
                <w:sz w:val="18"/>
                <w:szCs w:val="18"/>
                <w:lang w:val="en-GB"/>
              </w:rPr>
              <w:t>identif</w:t>
            </w:r>
            <w:r w:rsidR="009D6050">
              <w:rPr>
                <w:rFonts w:ascii="Cambria" w:eastAsia="Times New Roman" w:hAnsi="Cambria" w:cs="Times New Roman"/>
                <w:color w:val="000000"/>
                <w:sz w:val="18"/>
                <w:szCs w:val="18"/>
                <w:lang w:val="en-GB"/>
              </w:rPr>
              <w:t>ier – c0040: this field should not be empty as the institution</w:t>
            </w:r>
            <w:r w:rsidRPr="00E160CA">
              <w:rPr>
                <w:rFonts w:ascii="Cambria" w:eastAsia="Times New Roman" w:hAnsi="Cambria" w:cs="Times New Roman"/>
                <w:color w:val="000000"/>
                <w:sz w:val="18"/>
                <w:szCs w:val="18"/>
                <w:lang w:val="en-GB"/>
              </w:rPr>
              <w:t xml:space="preserve"> is expected to be able to monitor its intragroup liabilities</w:t>
            </w:r>
          </w:p>
        </w:tc>
      </w:tr>
      <w:tr w:rsidR="00291B57" w:rsidRPr="00E43D3D" w14:paraId="3659886A" w14:textId="77777777" w:rsidTr="00054486">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91BC7" w14:textId="762E78DB" w:rsidR="00291B57" w:rsidRDefault="00291B57" w:rsidP="00F26A17">
            <w:pPr>
              <w:spacing w:line="240" w:lineRule="auto"/>
              <w:rPr>
                <w:rFonts w:ascii="Cambria" w:eastAsia="Times New Roman" w:hAnsi="Cambria" w:cs="Times New Roman"/>
                <w:color w:val="000000"/>
                <w:sz w:val="18"/>
                <w:szCs w:val="18"/>
              </w:rPr>
            </w:pPr>
            <w:r>
              <w:rPr>
                <w:rFonts w:ascii="Cambria" w:eastAsia="Times New Roman" w:hAnsi="Cambria" w:cs="Times New Roman"/>
                <w:color w:val="000000"/>
                <w:sz w:val="18"/>
                <w:szCs w:val="18"/>
              </w:rPr>
              <w:t>T06.</w:t>
            </w:r>
            <w:r w:rsidR="00570D4D">
              <w:rPr>
                <w:rFonts w:ascii="Cambria" w:eastAsia="Times New Roman" w:hAnsi="Cambria" w:cs="Times New Roman"/>
                <w:color w:val="000000"/>
                <w:sz w:val="18"/>
                <w:szCs w:val="18"/>
              </w:rPr>
              <w:t>01</w:t>
            </w:r>
          </w:p>
        </w:tc>
        <w:tc>
          <w:tcPr>
            <w:tcW w:w="7466" w:type="dxa"/>
            <w:tcBorders>
              <w:top w:val="single" w:sz="4" w:space="0" w:color="auto"/>
              <w:left w:val="single" w:sz="4" w:space="0" w:color="auto"/>
              <w:bottom w:val="single" w:sz="4" w:space="0" w:color="auto"/>
              <w:right w:val="single" w:sz="4" w:space="0" w:color="auto"/>
            </w:tcBorders>
            <w:shd w:val="clear" w:color="auto" w:fill="auto"/>
            <w:noWrap/>
          </w:tcPr>
          <w:p w14:paraId="51FB7237" w14:textId="229AD6C8" w:rsidR="00291B57" w:rsidRPr="00E160CA" w:rsidRDefault="00291B57" w:rsidP="00F26A17">
            <w:pPr>
              <w:spacing w:line="240" w:lineRule="auto"/>
              <w:rPr>
                <w:rFonts w:ascii="Cambria" w:eastAsia="Times New Roman" w:hAnsi="Cambria" w:cs="Times New Roman"/>
                <w:color w:val="000000"/>
                <w:sz w:val="18"/>
                <w:szCs w:val="18"/>
                <w:lang w:val="en-GB"/>
              </w:rPr>
            </w:pPr>
            <w:r>
              <w:rPr>
                <w:rFonts w:ascii="Cambria" w:eastAsia="Times New Roman" w:hAnsi="Cambria" w:cs="Times New Roman"/>
                <w:color w:val="000000"/>
                <w:sz w:val="18"/>
                <w:szCs w:val="18"/>
                <w:lang w:val="en-GB"/>
              </w:rPr>
              <w:t>Contract</w:t>
            </w:r>
            <w:r w:rsidRPr="00E160CA">
              <w:rPr>
                <w:rFonts w:ascii="Cambria" w:eastAsia="Times New Roman" w:hAnsi="Cambria" w:cs="Times New Roman"/>
                <w:color w:val="000000"/>
                <w:sz w:val="18"/>
                <w:szCs w:val="18"/>
                <w:lang w:val="en-GB"/>
              </w:rPr>
              <w:t xml:space="preserve"> identifier – c0050:</w:t>
            </w:r>
            <w:r w:rsidR="009D6050">
              <w:rPr>
                <w:rFonts w:ascii="Cambria" w:eastAsia="Times New Roman" w:hAnsi="Cambria" w:cs="Times New Roman"/>
                <w:color w:val="000000"/>
                <w:sz w:val="18"/>
                <w:szCs w:val="18"/>
                <w:lang w:val="en-GB"/>
              </w:rPr>
              <w:t xml:space="preserve"> this field should not be empty as the institution</w:t>
            </w:r>
            <w:r w:rsidRPr="00E160CA">
              <w:rPr>
                <w:rFonts w:ascii="Cambria" w:eastAsia="Times New Roman" w:hAnsi="Cambria" w:cs="Times New Roman"/>
                <w:color w:val="000000"/>
                <w:sz w:val="18"/>
                <w:szCs w:val="18"/>
                <w:lang w:val="en-GB"/>
              </w:rPr>
              <w:t xml:space="preserve"> is expected to be able to monitor its intragroup liabilities</w:t>
            </w:r>
          </w:p>
        </w:tc>
      </w:tr>
      <w:tr w:rsidR="00291B57" w:rsidRPr="00E43D3D" w14:paraId="1F2710A1" w14:textId="77777777" w:rsidTr="00054486">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BD55" w14:textId="70FA1154" w:rsidR="00291B57" w:rsidRDefault="00291B57" w:rsidP="00F26A17">
            <w:pPr>
              <w:spacing w:line="240" w:lineRule="auto"/>
              <w:rPr>
                <w:rFonts w:ascii="Cambria" w:eastAsia="Times New Roman" w:hAnsi="Cambria" w:cs="Times New Roman"/>
                <w:color w:val="000000"/>
                <w:sz w:val="18"/>
                <w:szCs w:val="18"/>
              </w:rPr>
            </w:pPr>
            <w:r>
              <w:rPr>
                <w:rFonts w:ascii="Cambria" w:eastAsia="Times New Roman" w:hAnsi="Cambria" w:cs="Times New Roman"/>
                <w:color w:val="000000"/>
                <w:sz w:val="18"/>
                <w:szCs w:val="18"/>
              </w:rPr>
              <w:t>T07.00</w:t>
            </w:r>
          </w:p>
        </w:tc>
        <w:tc>
          <w:tcPr>
            <w:tcW w:w="7466" w:type="dxa"/>
            <w:tcBorders>
              <w:top w:val="single" w:sz="4" w:space="0" w:color="auto"/>
              <w:left w:val="single" w:sz="4" w:space="0" w:color="auto"/>
              <w:bottom w:val="single" w:sz="4" w:space="0" w:color="auto"/>
              <w:right w:val="single" w:sz="4" w:space="0" w:color="auto"/>
            </w:tcBorders>
            <w:shd w:val="clear" w:color="auto" w:fill="auto"/>
            <w:noWrap/>
          </w:tcPr>
          <w:p w14:paraId="0FC54CFC" w14:textId="6CC978E4" w:rsidR="00291B57" w:rsidRDefault="00291B57" w:rsidP="00F26A17">
            <w:pPr>
              <w:spacing w:line="240" w:lineRule="auto"/>
              <w:rPr>
                <w:rFonts w:ascii="Cambria" w:eastAsia="Times New Roman" w:hAnsi="Cambria" w:cs="Times New Roman"/>
                <w:color w:val="000000"/>
                <w:sz w:val="18"/>
                <w:szCs w:val="18"/>
                <w:lang w:val="en-GB"/>
              </w:rPr>
            </w:pPr>
            <w:r w:rsidRPr="00E160CA">
              <w:rPr>
                <w:rFonts w:ascii="Cambria" w:eastAsia="Times New Roman" w:hAnsi="Cambria" w:cs="Times New Roman"/>
                <w:color w:val="000000"/>
                <w:sz w:val="18"/>
                <w:szCs w:val="18"/>
                <w:lang w:val="en-GB"/>
              </w:rPr>
              <w:t>Master agreement – c0040/</w:t>
            </w:r>
            <w:r>
              <w:rPr>
                <w:rFonts w:ascii="Cambria" w:eastAsia="Times New Roman" w:hAnsi="Cambria" w:cs="Times New Roman"/>
                <w:color w:val="000000"/>
                <w:sz w:val="18"/>
                <w:szCs w:val="18"/>
                <w:lang w:val="en-GB"/>
              </w:rPr>
              <w:t>c0</w:t>
            </w:r>
            <w:r w:rsidR="009D6050">
              <w:rPr>
                <w:rFonts w:ascii="Cambria" w:eastAsia="Times New Roman" w:hAnsi="Cambria" w:cs="Times New Roman"/>
                <w:color w:val="000000"/>
                <w:sz w:val="18"/>
                <w:szCs w:val="18"/>
                <w:lang w:val="en-GB"/>
              </w:rPr>
              <w:t>050: If c0040 contains</w:t>
            </w:r>
            <w:r w:rsidRPr="00E160CA">
              <w:rPr>
                <w:rFonts w:ascii="Cambria" w:eastAsia="Times New Roman" w:hAnsi="Cambria" w:cs="Times New Roman"/>
                <w:color w:val="000000"/>
                <w:sz w:val="18"/>
                <w:szCs w:val="18"/>
                <w:lang w:val="en-GB"/>
              </w:rPr>
              <w:t xml:space="preserve"> a number, then c0050 should not be empty</w:t>
            </w:r>
          </w:p>
        </w:tc>
      </w:tr>
    </w:tbl>
    <w:p w14:paraId="47EF3410" w14:textId="5B3B9159" w:rsidR="006A34E4" w:rsidRPr="00706844" w:rsidRDefault="006A34E4" w:rsidP="00C243CD">
      <w:pPr>
        <w:pStyle w:val="ListParagraph"/>
        <w:ind w:left="1080"/>
        <w:rPr>
          <w:lang w:val="en-GB"/>
        </w:rPr>
      </w:pPr>
    </w:p>
    <w:p w14:paraId="5F422188" w14:textId="472862A0" w:rsidR="00F26A17" w:rsidRPr="00706844" w:rsidRDefault="00F26A17" w:rsidP="00C243CD">
      <w:pPr>
        <w:pStyle w:val="ListParagraph"/>
        <w:numPr>
          <w:ilvl w:val="1"/>
          <w:numId w:val="28"/>
        </w:numPr>
        <w:rPr>
          <w:lang w:val="en-GB"/>
        </w:rPr>
      </w:pPr>
      <w:r w:rsidRPr="00C243CD">
        <w:rPr>
          <w:lang w:val="en-GB"/>
        </w:rPr>
        <w:t xml:space="preserve">Cross-Checks </w:t>
      </w:r>
    </w:p>
    <w:p w14:paraId="2384A05C" w14:textId="61A498D5" w:rsidR="00BB7F74" w:rsidRPr="00291B57" w:rsidRDefault="00560CA9" w:rsidP="00054486">
      <w:pPr>
        <w:ind w:left="360"/>
        <w:rPr>
          <w:lang w:val="en-GB"/>
        </w:rPr>
      </w:pPr>
      <w:r w:rsidRPr="00054486">
        <w:rPr>
          <w:rFonts w:ascii="Cambria" w:hAnsi="Cambria"/>
          <w:szCs w:val="20"/>
          <w:lang w:val="en-GB"/>
        </w:rPr>
        <w:t>The granular data on liability level (</w:t>
      </w:r>
      <w:r w:rsidR="00291B57">
        <w:rPr>
          <w:rFonts w:ascii="Cambria" w:hAnsi="Cambria"/>
          <w:szCs w:val="20"/>
          <w:lang w:val="en-GB"/>
        </w:rPr>
        <w:t xml:space="preserve">as reported </w:t>
      </w:r>
      <w:r w:rsidRPr="00054486">
        <w:rPr>
          <w:rFonts w:ascii="Cambria" w:hAnsi="Cambria"/>
          <w:szCs w:val="20"/>
          <w:lang w:val="en-GB"/>
        </w:rPr>
        <w:t>in T03.01 to T08.00) should be cross-checked with the aggregated data on entity level (</w:t>
      </w:r>
      <w:r w:rsidR="00291B57">
        <w:rPr>
          <w:rFonts w:ascii="Cambria" w:hAnsi="Cambria"/>
          <w:szCs w:val="20"/>
          <w:lang w:val="en-GB"/>
        </w:rPr>
        <w:t xml:space="preserve">as reported </w:t>
      </w:r>
      <w:r w:rsidRPr="00054486">
        <w:rPr>
          <w:rFonts w:ascii="Cambria" w:hAnsi="Cambria"/>
          <w:szCs w:val="20"/>
          <w:lang w:val="en-GB"/>
        </w:rPr>
        <w:t>in T01.00).</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80"/>
        <w:gridCol w:w="7992"/>
      </w:tblGrid>
      <w:tr w:rsidR="006A34E4" w:rsidRPr="00E43D3D" w14:paraId="64CA883C" w14:textId="77777777" w:rsidTr="00054486">
        <w:trPr>
          <w:trHeight w:val="510"/>
        </w:trPr>
        <w:tc>
          <w:tcPr>
            <w:tcW w:w="1080" w:type="dxa"/>
            <w:shd w:val="clear" w:color="auto" w:fill="FFFFFF" w:themeFill="background1"/>
            <w:noWrap/>
            <w:vAlign w:val="bottom"/>
            <w:hideMark/>
          </w:tcPr>
          <w:p w14:paraId="53286930" w14:textId="77777777" w:rsidR="00BB7F74" w:rsidRPr="00C243CD" w:rsidRDefault="00BB7F74" w:rsidP="00BB7F74">
            <w:pPr>
              <w:spacing w:line="240" w:lineRule="auto"/>
              <w:jc w:val="left"/>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LDR Tab</w:t>
            </w:r>
          </w:p>
        </w:tc>
        <w:tc>
          <w:tcPr>
            <w:tcW w:w="7992" w:type="dxa"/>
            <w:shd w:val="clear" w:color="auto" w:fill="FFFFFF" w:themeFill="background1"/>
            <w:noWrap/>
            <w:vAlign w:val="bottom"/>
            <w:hideMark/>
          </w:tcPr>
          <w:p w14:paraId="50584136" w14:textId="09EFBA7A" w:rsidR="00BB7F74" w:rsidRPr="00C243CD" w:rsidRDefault="00BB7F74" w:rsidP="00BB7F74">
            <w:pPr>
              <w:spacing w:line="240" w:lineRule="auto"/>
              <w:jc w:val="left"/>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 xml:space="preserve">Description of the </w:t>
            </w:r>
            <w:r w:rsidR="00291B57">
              <w:rPr>
                <w:rFonts w:ascii="Cambria" w:eastAsia="Times New Roman" w:hAnsi="Cambria" w:cs="Times New Roman"/>
                <w:b/>
                <w:bCs/>
                <w:color w:val="000000"/>
                <w:sz w:val="18"/>
                <w:szCs w:val="18"/>
                <w:lang w:val="en-GB" w:eastAsia="en-GB"/>
              </w:rPr>
              <w:t>c</w:t>
            </w:r>
            <w:r w:rsidRPr="00C243CD">
              <w:rPr>
                <w:rFonts w:ascii="Cambria" w:eastAsia="Times New Roman" w:hAnsi="Cambria" w:cs="Times New Roman"/>
                <w:b/>
                <w:bCs/>
                <w:color w:val="000000"/>
                <w:sz w:val="18"/>
                <w:szCs w:val="18"/>
                <w:lang w:val="en-GB" w:eastAsia="en-GB"/>
              </w:rPr>
              <w:t>ross</w:t>
            </w:r>
            <w:r w:rsidR="00291B57">
              <w:rPr>
                <w:rFonts w:ascii="Cambria" w:eastAsia="Times New Roman" w:hAnsi="Cambria" w:cs="Times New Roman"/>
                <w:b/>
                <w:bCs/>
                <w:color w:val="000000"/>
                <w:sz w:val="18"/>
                <w:szCs w:val="18"/>
                <w:lang w:val="en-GB" w:eastAsia="en-GB"/>
              </w:rPr>
              <w:t>-c</w:t>
            </w:r>
            <w:r w:rsidRPr="00C243CD">
              <w:rPr>
                <w:rFonts w:ascii="Cambria" w:eastAsia="Times New Roman" w:hAnsi="Cambria" w:cs="Times New Roman"/>
                <w:b/>
                <w:bCs/>
                <w:color w:val="000000"/>
                <w:sz w:val="18"/>
                <w:szCs w:val="18"/>
                <w:lang w:val="en-GB" w:eastAsia="en-GB"/>
              </w:rPr>
              <w:t>heck</w:t>
            </w:r>
          </w:p>
        </w:tc>
      </w:tr>
      <w:tr w:rsidR="00D9240A" w:rsidRPr="00E43D3D" w14:paraId="621E6B0E" w14:textId="77777777" w:rsidTr="00054486">
        <w:trPr>
          <w:trHeight w:val="510"/>
        </w:trPr>
        <w:tc>
          <w:tcPr>
            <w:tcW w:w="1080" w:type="dxa"/>
            <w:shd w:val="clear" w:color="auto" w:fill="FFFFFF" w:themeFill="background1"/>
            <w:noWrap/>
            <w:vAlign w:val="center"/>
            <w:hideMark/>
          </w:tcPr>
          <w:p w14:paraId="48D95AE9"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558172D0" w14:textId="2B94B80D"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ldt_v0100: the "Amount of pledge, lien or collateral" (T03.01-c</w:t>
            </w:r>
            <w:r w:rsidR="009B75D1">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150) of a "Secured"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140) instrument cannot be equal to 0</w:t>
            </w:r>
          </w:p>
        </w:tc>
      </w:tr>
      <w:tr w:rsidR="00D9240A" w:rsidRPr="00E43D3D" w14:paraId="6E68B4D9" w14:textId="77777777" w:rsidTr="00054486">
        <w:trPr>
          <w:trHeight w:val="510"/>
        </w:trPr>
        <w:tc>
          <w:tcPr>
            <w:tcW w:w="1080" w:type="dxa"/>
            <w:shd w:val="clear" w:color="auto" w:fill="FFFFFF" w:themeFill="background1"/>
            <w:noWrap/>
            <w:vAlign w:val="center"/>
            <w:hideMark/>
          </w:tcPr>
          <w:p w14:paraId="43FDDB97"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7CDE1215" w14:textId="57B97070"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ldt_v0101: the "Amount Included in Own Funds, taking into account phase-out as applicable"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190) of a "Secured"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140) instrument must be equal to 0</w:t>
            </w:r>
          </w:p>
        </w:tc>
      </w:tr>
      <w:tr w:rsidR="00D9240A" w:rsidRPr="00E43D3D" w14:paraId="69AEC3FF" w14:textId="77777777" w:rsidTr="00054486">
        <w:trPr>
          <w:trHeight w:val="510"/>
        </w:trPr>
        <w:tc>
          <w:tcPr>
            <w:tcW w:w="1080" w:type="dxa"/>
            <w:shd w:val="clear" w:color="auto" w:fill="FFFFFF" w:themeFill="background1"/>
            <w:noWrap/>
            <w:vAlign w:val="center"/>
            <w:hideMark/>
          </w:tcPr>
          <w:p w14:paraId="41EEE789"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0535529B" w14:textId="352D7A82"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ldt_v0102: a "Secured"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140) instrument cannot be an instrument "Qualifying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180)</w:t>
            </w:r>
          </w:p>
        </w:tc>
      </w:tr>
      <w:tr w:rsidR="00D9240A" w:rsidRPr="00E43D3D" w14:paraId="666DEB93" w14:textId="77777777" w:rsidTr="00054486">
        <w:trPr>
          <w:trHeight w:val="510"/>
        </w:trPr>
        <w:tc>
          <w:tcPr>
            <w:tcW w:w="1080" w:type="dxa"/>
            <w:shd w:val="clear" w:color="auto" w:fill="FFFFFF" w:themeFill="background1"/>
            <w:noWrap/>
            <w:vAlign w:val="center"/>
            <w:hideMark/>
          </w:tcPr>
          <w:p w14:paraId="70A1F69C"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107EAADF" w14:textId="367BFB11"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ldt_v0103: the "Amount of pledge, lien or collateral"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150)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120" / "Secured liabilities - collateralized part" (T03.01-c0</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instruments cannot be equal to 0</w:t>
            </w:r>
          </w:p>
        </w:tc>
      </w:tr>
      <w:tr w:rsidR="00D9240A" w:rsidRPr="00E43D3D" w14:paraId="78D9A40C" w14:textId="77777777" w:rsidTr="00054486">
        <w:trPr>
          <w:trHeight w:val="510"/>
        </w:trPr>
        <w:tc>
          <w:tcPr>
            <w:tcW w:w="1080" w:type="dxa"/>
            <w:shd w:val="clear" w:color="auto" w:fill="FFFFFF" w:themeFill="background1"/>
            <w:noWrap/>
            <w:vAlign w:val="center"/>
            <w:hideMark/>
          </w:tcPr>
          <w:p w14:paraId="21F359F2"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0FCE4FD7" w14:textId="49FF7778"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ldt_v0104: the "Amount Included in Own Funds, taking into account phase-out as applicable"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190)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equal to 0</w:t>
            </w:r>
          </w:p>
        </w:tc>
      </w:tr>
      <w:tr w:rsidR="00D9240A" w:rsidRPr="00E43D3D" w14:paraId="57E67B2F" w14:textId="77777777" w:rsidTr="00054486">
        <w:trPr>
          <w:trHeight w:val="510"/>
        </w:trPr>
        <w:tc>
          <w:tcPr>
            <w:tcW w:w="1080" w:type="dxa"/>
            <w:shd w:val="clear" w:color="auto" w:fill="FFFFFF" w:themeFill="background1"/>
            <w:noWrap/>
            <w:vAlign w:val="center"/>
            <w:hideMark/>
          </w:tcPr>
          <w:p w14:paraId="5077625C"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0F0542F5" w14:textId="620FFC39"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ldt_v0105: the "Amount Included in Own Funds, taking into account phase-out as applicable"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190)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equal to 0</w:t>
            </w:r>
          </w:p>
        </w:tc>
      </w:tr>
      <w:tr w:rsidR="00D9240A" w:rsidRPr="00E43D3D" w14:paraId="08E13772" w14:textId="77777777" w:rsidTr="00054486">
        <w:trPr>
          <w:trHeight w:val="510"/>
        </w:trPr>
        <w:tc>
          <w:tcPr>
            <w:tcW w:w="1080" w:type="dxa"/>
            <w:shd w:val="clear" w:color="auto" w:fill="FFFFFF" w:themeFill="background1"/>
            <w:noWrap/>
            <w:vAlign w:val="center"/>
            <w:hideMark/>
          </w:tcPr>
          <w:p w14:paraId="40108D2C"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56049551" w14:textId="14FDDABB"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ldt_v0106: the "Amount Included in Own Funds, taking into account phase-out as applicable"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190)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521" / AT1 "Subordinated liabilities recognised as own funds" (T03.01-c0</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equal to 0</w:t>
            </w:r>
          </w:p>
        </w:tc>
      </w:tr>
      <w:tr w:rsidR="00D9240A" w:rsidRPr="00E43D3D" w14:paraId="586D370E" w14:textId="77777777" w:rsidTr="00054486">
        <w:trPr>
          <w:trHeight w:val="510"/>
        </w:trPr>
        <w:tc>
          <w:tcPr>
            <w:tcW w:w="1080" w:type="dxa"/>
            <w:shd w:val="clear" w:color="auto" w:fill="FFFFFF" w:themeFill="background1"/>
            <w:noWrap/>
            <w:vAlign w:val="center"/>
            <w:hideMark/>
          </w:tcPr>
          <w:p w14:paraId="4318BCEC"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27147F87" w14:textId="529C86C3"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ldt_v0107: the "Amount Included in Own Funds, taking into account phase-out as applicable"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190)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equal to 0</w:t>
            </w:r>
          </w:p>
        </w:tc>
      </w:tr>
      <w:tr w:rsidR="00D9240A" w:rsidRPr="00E43D3D" w14:paraId="66F670EE" w14:textId="77777777" w:rsidTr="00054486">
        <w:trPr>
          <w:trHeight w:val="510"/>
        </w:trPr>
        <w:tc>
          <w:tcPr>
            <w:tcW w:w="1080" w:type="dxa"/>
            <w:shd w:val="clear" w:color="auto" w:fill="FFFFFF" w:themeFill="background1"/>
            <w:noWrap/>
            <w:vAlign w:val="center"/>
            <w:hideMark/>
          </w:tcPr>
          <w:p w14:paraId="70E60C31"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446EBA86" w14:textId="3717028B"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ldt_v0108: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must be identified as CET1 instruments "Qualifying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180)</w:t>
            </w:r>
          </w:p>
        </w:tc>
      </w:tr>
      <w:tr w:rsidR="00D9240A" w:rsidRPr="00E43D3D" w14:paraId="69037C05" w14:textId="77777777" w:rsidTr="00054486">
        <w:trPr>
          <w:trHeight w:val="510"/>
        </w:trPr>
        <w:tc>
          <w:tcPr>
            <w:tcW w:w="1080" w:type="dxa"/>
            <w:shd w:val="clear" w:color="auto" w:fill="FFFFFF" w:themeFill="background1"/>
            <w:noWrap/>
            <w:vAlign w:val="center"/>
            <w:hideMark/>
          </w:tcPr>
          <w:p w14:paraId="17575AE4"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0D469D0C" w14:textId="4A52602B"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ldt_v0109: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must be identified as CET1 instruments "Qualifying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180)</w:t>
            </w:r>
          </w:p>
        </w:tc>
      </w:tr>
      <w:tr w:rsidR="00D9240A" w:rsidRPr="00E43D3D" w14:paraId="428E851B" w14:textId="77777777" w:rsidTr="00054486">
        <w:trPr>
          <w:trHeight w:val="510"/>
        </w:trPr>
        <w:tc>
          <w:tcPr>
            <w:tcW w:w="1080" w:type="dxa"/>
            <w:shd w:val="clear" w:color="auto" w:fill="FFFFFF" w:themeFill="background1"/>
            <w:noWrap/>
            <w:vAlign w:val="center"/>
            <w:hideMark/>
          </w:tcPr>
          <w:p w14:paraId="45B9C187"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02423F99" w14:textId="400375B6"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ldt_v0110: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521" / AT1 "Subordinated liabilities recognised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must be identified as Partially (A)T1 or T2, or Grandfathered AT1, or Fully compliant AT1 instruments "Qualifying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180)</w:t>
            </w:r>
          </w:p>
        </w:tc>
      </w:tr>
      <w:tr w:rsidR="00D9240A" w:rsidRPr="00E43D3D" w14:paraId="381D632E" w14:textId="77777777" w:rsidTr="00054486">
        <w:trPr>
          <w:trHeight w:val="510"/>
        </w:trPr>
        <w:tc>
          <w:tcPr>
            <w:tcW w:w="1080" w:type="dxa"/>
            <w:shd w:val="clear" w:color="auto" w:fill="FFFFFF" w:themeFill="background1"/>
            <w:noWrap/>
            <w:vAlign w:val="center"/>
            <w:hideMark/>
          </w:tcPr>
          <w:p w14:paraId="7095434F"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29443120" w14:textId="360E5634"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ldt_v0111: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(T03.01-c0</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must be identified as Partially (A)T1 or T2, ot T2 in pase-out, or Grandfathered T2, or Fully compliant T2 instruments "Qualifying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180)</w:t>
            </w:r>
          </w:p>
        </w:tc>
      </w:tr>
      <w:tr w:rsidR="00D9240A" w:rsidRPr="00E43D3D" w14:paraId="3B728690" w14:textId="77777777" w:rsidTr="00054486">
        <w:trPr>
          <w:trHeight w:val="510"/>
        </w:trPr>
        <w:tc>
          <w:tcPr>
            <w:tcW w:w="1080" w:type="dxa"/>
            <w:shd w:val="clear" w:color="auto" w:fill="FFFFFF" w:themeFill="background1"/>
            <w:noWrap/>
            <w:vAlign w:val="center"/>
            <w:hideMark/>
          </w:tcPr>
          <w:p w14:paraId="5A72AB49"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7C21E59C" w14:textId="0F699CE6"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ldt_v0112: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120" / "Secured liabilities - collateralized part" (T03.01-c0</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must be identified as "Secured"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140) instruments</w:t>
            </w:r>
          </w:p>
        </w:tc>
      </w:tr>
      <w:tr w:rsidR="00D9240A" w:rsidRPr="00123F46" w14:paraId="4AFDC65B" w14:textId="77777777" w:rsidTr="00054486">
        <w:trPr>
          <w:trHeight w:val="510"/>
        </w:trPr>
        <w:tc>
          <w:tcPr>
            <w:tcW w:w="1080" w:type="dxa"/>
            <w:shd w:val="clear" w:color="auto" w:fill="FFFFFF" w:themeFill="background1"/>
            <w:noWrap/>
            <w:vAlign w:val="center"/>
            <w:hideMark/>
          </w:tcPr>
          <w:p w14:paraId="33A10393"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lastRenderedPageBreak/>
              <w:t>T03.01</w:t>
            </w:r>
          </w:p>
        </w:tc>
        <w:tc>
          <w:tcPr>
            <w:tcW w:w="7992" w:type="dxa"/>
            <w:shd w:val="clear" w:color="auto" w:fill="FFFFFF" w:themeFill="background1"/>
            <w:noWrap/>
            <w:vAlign w:val="center"/>
            <w:hideMark/>
          </w:tcPr>
          <w:p w14:paraId="43130042" w14:textId="21372874"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ldt_v0113: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(T03.01-c0</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"Secured"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140) instruments</w:t>
            </w:r>
          </w:p>
        </w:tc>
      </w:tr>
      <w:tr w:rsidR="00D9240A" w:rsidRPr="00E43D3D" w14:paraId="40ABEFCC" w14:textId="77777777" w:rsidTr="00054486">
        <w:trPr>
          <w:trHeight w:val="510"/>
        </w:trPr>
        <w:tc>
          <w:tcPr>
            <w:tcW w:w="1080" w:type="dxa"/>
            <w:shd w:val="clear" w:color="auto" w:fill="FFFFFF" w:themeFill="background1"/>
            <w:noWrap/>
            <w:vAlign w:val="center"/>
            <w:hideMark/>
          </w:tcPr>
          <w:p w14:paraId="04AF7DDC"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5B7C0A81" w14:textId="20853EB2"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ldt_v0114: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(T03.01-c0</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"Secured"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140) instruments</w:t>
            </w:r>
          </w:p>
        </w:tc>
      </w:tr>
      <w:tr w:rsidR="00D9240A" w:rsidRPr="00E43D3D" w14:paraId="21A6F344" w14:textId="77777777" w:rsidTr="00054486">
        <w:trPr>
          <w:trHeight w:val="510"/>
        </w:trPr>
        <w:tc>
          <w:tcPr>
            <w:tcW w:w="1080" w:type="dxa"/>
            <w:shd w:val="clear" w:color="auto" w:fill="FFFFFF" w:themeFill="background1"/>
            <w:noWrap/>
            <w:vAlign w:val="center"/>
            <w:hideMark/>
          </w:tcPr>
          <w:p w14:paraId="1F1B4565"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7441F6D3" w14:textId="184BEB80"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ldt_v0115: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521" / AT1 "Subordinated liabilities recognised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"Secured"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140) instruments</w:t>
            </w:r>
          </w:p>
        </w:tc>
      </w:tr>
      <w:tr w:rsidR="00D9240A" w:rsidRPr="00E43D3D" w14:paraId="689A93D0" w14:textId="77777777" w:rsidTr="00054486">
        <w:trPr>
          <w:trHeight w:val="510"/>
        </w:trPr>
        <w:tc>
          <w:tcPr>
            <w:tcW w:w="1080" w:type="dxa"/>
            <w:shd w:val="clear" w:color="auto" w:fill="FFFFFF" w:themeFill="background1"/>
            <w:noWrap/>
            <w:vAlign w:val="center"/>
            <w:hideMark/>
          </w:tcPr>
          <w:p w14:paraId="1CCF3FDD"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T03.01</w:t>
            </w:r>
          </w:p>
        </w:tc>
        <w:tc>
          <w:tcPr>
            <w:tcW w:w="7992" w:type="dxa"/>
            <w:shd w:val="clear" w:color="auto" w:fill="FFFFFF" w:themeFill="background1"/>
            <w:noWrap/>
            <w:vAlign w:val="center"/>
            <w:hideMark/>
          </w:tcPr>
          <w:p w14:paraId="55D1B1B0" w14:textId="4D13BF0B"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ldt_v0116: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"Secured" (T03.01-c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140) instruments</w:t>
            </w:r>
          </w:p>
        </w:tc>
      </w:tr>
      <w:tr w:rsidR="00D9240A" w:rsidRPr="00E43D3D" w14:paraId="4260D8C5" w14:textId="77777777" w:rsidTr="00054486">
        <w:trPr>
          <w:trHeight w:val="510"/>
        </w:trPr>
        <w:tc>
          <w:tcPr>
            <w:tcW w:w="1080" w:type="dxa"/>
            <w:shd w:val="clear" w:color="auto" w:fill="FFFFFF" w:themeFill="background1"/>
            <w:noWrap/>
            <w:vAlign w:val="center"/>
            <w:hideMark/>
          </w:tcPr>
          <w:p w14:paraId="0D257B77"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71FE4318" w14:textId="55EF0894"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ldt_v0117: the "Amount of pledge, lien or collateral"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270) of a "Secured"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260) instrument cannot be equal to 0</w:t>
            </w:r>
          </w:p>
        </w:tc>
      </w:tr>
      <w:tr w:rsidR="00D9240A" w:rsidRPr="00E43D3D" w14:paraId="0E765057" w14:textId="77777777" w:rsidTr="00054486">
        <w:trPr>
          <w:trHeight w:val="510"/>
        </w:trPr>
        <w:tc>
          <w:tcPr>
            <w:tcW w:w="1080" w:type="dxa"/>
            <w:shd w:val="clear" w:color="auto" w:fill="FFFFFF" w:themeFill="background1"/>
            <w:noWrap/>
            <w:vAlign w:val="center"/>
            <w:hideMark/>
          </w:tcPr>
          <w:p w14:paraId="1868CA85"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072E18B3" w14:textId="29DDECDF"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ldt_v0118: the "Amount Included in Own Funds, taking into account phase-out as applicable"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320) of a "Secured"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260) instrument must be equal to 0</w:t>
            </w:r>
          </w:p>
        </w:tc>
      </w:tr>
      <w:tr w:rsidR="00D9240A" w:rsidRPr="00E43D3D" w14:paraId="2096CC75" w14:textId="77777777" w:rsidTr="00054486">
        <w:trPr>
          <w:trHeight w:val="510"/>
        </w:trPr>
        <w:tc>
          <w:tcPr>
            <w:tcW w:w="1080" w:type="dxa"/>
            <w:shd w:val="clear" w:color="auto" w:fill="FFFFFF" w:themeFill="background1"/>
            <w:noWrap/>
            <w:vAlign w:val="center"/>
            <w:hideMark/>
          </w:tcPr>
          <w:p w14:paraId="6BF4CDC1"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29864F23" w14:textId="6AA18247"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ldt_v0119: a "Secured"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260) instrument cannot be an instrument "Qualifying as Own Funds"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310)</w:t>
            </w:r>
          </w:p>
        </w:tc>
      </w:tr>
      <w:tr w:rsidR="00D9240A" w:rsidRPr="00E43D3D" w14:paraId="5DC3E7CE" w14:textId="77777777" w:rsidTr="00054486">
        <w:trPr>
          <w:trHeight w:val="510"/>
        </w:trPr>
        <w:tc>
          <w:tcPr>
            <w:tcW w:w="1080" w:type="dxa"/>
            <w:shd w:val="clear" w:color="auto" w:fill="FFFFFF" w:themeFill="background1"/>
            <w:noWrap/>
            <w:vAlign w:val="center"/>
            <w:hideMark/>
          </w:tcPr>
          <w:p w14:paraId="542E56B4"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10C12C0F" w14:textId="6FE56DF4"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ldt_v0120: the "Amount of pledge, lien or collateral"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270)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120" / "Secured liabilities - collateralized part" (T04.00-c0</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instruments cannot be equal to 0</w:t>
            </w:r>
          </w:p>
        </w:tc>
      </w:tr>
      <w:tr w:rsidR="00D9240A" w:rsidRPr="00E43D3D" w14:paraId="0DAF4AF8" w14:textId="77777777" w:rsidTr="00054486">
        <w:trPr>
          <w:trHeight w:val="510"/>
        </w:trPr>
        <w:tc>
          <w:tcPr>
            <w:tcW w:w="1080" w:type="dxa"/>
            <w:shd w:val="clear" w:color="auto" w:fill="FFFFFF" w:themeFill="background1"/>
            <w:noWrap/>
            <w:vAlign w:val="center"/>
            <w:hideMark/>
          </w:tcPr>
          <w:p w14:paraId="3FA0B80E"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13C1D259" w14:textId="6FEA8071"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ldt_v0121: the "Amount Included in Own Funds, taking into account phase-out as applicable"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320)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(T04.00-c0</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equal to 0</w:t>
            </w:r>
          </w:p>
        </w:tc>
      </w:tr>
      <w:tr w:rsidR="00D9240A" w:rsidRPr="00E43D3D" w14:paraId="56839EB7" w14:textId="77777777" w:rsidTr="00054486">
        <w:trPr>
          <w:trHeight w:val="510"/>
        </w:trPr>
        <w:tc>
          <w:tcPr>
            <w:tcW w:w="1080" w:type="dxa"/>
            <w:shd w:val="clear" w:color="auto" w:fill="FFFFFF" w:themeFill="background1"/>
            <w:noWrap/>
            <w:vAlign w:val="center"/>
            <w:hideMark/>
          </w:tcPr>
          <w:p w14:paraId="18DBCD22"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43595E4E" w14:textId="35BFA0E5"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ldt_v0122: the "Amount Included in Own Funds, taking into account phase-out as applicable"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320)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equal to 0</w:t>
            </w:r>
          </w:p>
        </w:tc>
      </w:tr>
      <w:tr w:rsidR="00D9240A" w:rsidRPr="00E43D3D" w14:paraId="3904D53C" w14:textId="77777777" w:rsidTr="00054486">
        <w:trPr>
          <w:trHeight w:val="510"/>
        </w:trPr>
        <w:tc>
          <w:tcPr>
            <w:tcW w:w="1080" w:type="dxa"/>
            <w:shd w:val="clear" w:color="auto" w:fill="FFFFFF" w:themeFill="background1"/>
            <w:noWrap/>
            <w:vAlign w:val="center"/>
            <w:hideMark/>
          </w:tcPr>
          <w:p w14:paraId="126CBE28"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70C7B8AE" w14:textId="3D448B45"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ldt_v0123: the "Amount Included in Own Funds, taking into account phase-out as applicable"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320)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521" / AT1 "Subordinated liabilities recognised as own funds"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equal to 0</w:t>
            </w:r>
          </w:p>
        </w:tc>
      </w:tr>
      <w:tr w:rsidR="00D9240A" w:rsidRPr="00E43D3D" w14:paraId="6998528A" w14:textId="77777777" w:rsidTr="00054486">
        <w:trPr>
          <w:trHeight w:val="510"/>
        </w:trPr>
        <w:tc>
          <w:tcPr>
            <w:tcW w:w="1080" w:type="dxa"/>
            <w:shd w:val="clear" w:color="auto" w:fill="FFFFFF" w:themeFill="background1"/>
            <w:noWrap/>
            <w:vAlign w:val="center"/>
            <w:hideMark/>
          </w:tcPr>
          <w:p w14:paraId="0975398A"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712D1555" w14:textId="4F0063E1"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ldt_v0124: the "Amount Included in Own Funds, taking into account phase-out as applicable"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320) of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equal to 0</w:t>
            </w:r>
          </w:p>
        </w:tc>
      </w:tr>
      <w:tr w:rsidR="00D9240A" w:rsidRPr="00E43D3D" w14:paraId="6954A4AC" w14:textId="77777777" w:rsidTr="00054486">
        <w:trPr>
          <w:trHeight w:val="510"/>
        </w:trPr>
        <w:tc>
          <w:tcPr>
            <w:tcW w:w="1080" w:type="dxa"/>
            <w:shd w:val="clear" w:color="auto" w:fill="FFFFFF" w:themeFill="background1"/>
            <w:noWrap/>
            <w:vAlign w:val="center"/>
            <w:hideMark/>
          </w:tcPr>
          <w:p w14:paraId="13A3714B"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003E1913" w14:textId="2F54EF62"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ldt_v0125: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must be identified as CET1 instruments "Qualifying as Own Funds"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310)</w:t>
            </w:r>
          </w:p>
        </w:tc>
      </w:tr>
      <w:tr w:rsidR="00D9240A" w:rsidRPr="00E43D3D" w14:paraId="2520DAAA" w14:textId="77777777" w:rsidTr="00054486">
        <w:trPr>
          <w:trHeight w:val="510"/>
        </w:trPr>
        <w:tc>
          <w:tcPr>
            <w:tcW w:w="1080" w:type="dxa"/>
            <w:shd w:val="clear" w:color="auto" w:fill="FFFFFF" w:themeFill="background1"/>
            <w:noWrap/>
            <w:vAlign w:val="center"/>
            <w:hideMark/>
          </w:tcPr>
          <w:p w14:paraId="6F3E5238"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44E5209C" w14:textId="70D17146"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ldt_v0126: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must be identified as CET1 instruments "Qualifying as Own Funds"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310)</w:t>
            </w:r>
          </w:p>
        </w:tc>
      </w:tr>
      <w:tr w:rsidR="00D9240A" w:rsidRPr="00E43D3D" w14:paraId="7F1978A3" w14:textId="77777777" w:rsidTr="00054486">
        <w:trPr>
          <w:trHeight w:val="510"/>
        </w:trPr>
        <w:tc>
          <w:tcPr>
            <w:tcW w:w="1080" w:type="dxa"/>
            <w:shd w:val="clear" w:color="auto" w:fill="FFFFFF" w:themeFill="background1"/>
            <w:noWrap/>
            <w:vAlign w:val="center"/>
            <w:hideMark/>
          </w:tcPr>
          <w:p w14:paraId="78716500"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313CA883" w14:textId="3828801F"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ldt_v0127: "r</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521" / AT1 "Subordinated liabilities recognised as own funds"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must be identified as Partially (A)T1 or T2, or Grandfathered AT1, or Fully compliant AT1 instruments "Qualifying as Own Funds" (T04.00-c</w:t>
            </w:r>
            <w:r w:rsidR="00ED7F8B">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310)</w:t>
            </w:r>
          </w:p>
        </w:tc>
      </w:tr>
      <w:tr w:rsidR="00D9240A" w:rsidRPr="00E43D3D" w14:paraId="611D5F4A" w14:textId="77777777" w:rsidTr="00054486">
        <w:trPr>
          <w:trHeight w:val="510"/>
        </w:trPr>
        <w:tc>
          <w:tcPr>
            <w:tcW w:w="1080" w:type="dxa"/>
            <w:shd w:val="clear" w:color="auto" w:fill="FFFFFF" w:themeFill="background1"/>
            <w:noWrap/>
            <w:vAlign w:val="center"/>
            <w:hideMark/>
          </w:tcPr>
          <w:p w14:paraId="0F35F742"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245B6423" w14:textId="3E08DEAB"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ldt_v0128: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must be identified as Partially (A)T1 or T2, ot T2 in pase-out, or Grandfathered T2, or Fully compliant T2 instruments "Qualifying as Own Funds"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310)</w:t>
            </w:r>
          </w:p>
        </w:tc>
      </w:tr>
      <w:tr w:rsidR="00D9240A" w:rsidRPr="00E43D3D" w14:paraId="11D5D67D" w14:textId="77777777" w:rsidTr="00054486">
        <w:trPr>
          <w:trHeight w:val="510"/>
        </w:trPr>
        <w:tc>
          <w:tcPr>
            <w:tcW w:w="1080" w:type="dxa"/>
            <w:shd w:val="clear" w:color="auto" w:fill="FFFFFF" w:themeFill="background1"/>
            <w:noWrap/>
            <w:vAlign w:val="center"/>
            <w:hideMark/>
          </w:tcPr>
          <w:p w14:paraId="3EDD8C26"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545667B8" w14:textId="39C60B2E"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ldt_v0129: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120" / "Secured liabilities - collateralized part" (T04.00-c0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must be identified as "Secured"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260) instruments</w:t>
            </w:r>
          </w:p>
        </w:tc>
      </w:tr>
      <w:tr w:rsidR="00D9240A" w:rsidRPr="00123F46" w14:paraId="045326C7" w14:textId="77777777" w:rsidTr="00054486">
        <w:trPr>
          <w:trHeight w:val="510"/>
        </w:trPr>
        <w:tc>
          <w:tcPr>
            <w:tcW w:w="1080" w:type="dxa"/>
            <w:shd w:val="clear" w:color="auto" w:fill="FFFFFF" w:themeFill="background1"/>
            <w:noWrap/>
            <w:vAlign w:val="center"/>
            <w:hideMark/>
          </w:tcPr>
          <w:p w14:paraId="53922850"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29217A07" w14:textId="228FF467"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ldt_v0130: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"Secured"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260) instruments</w:t>
            </w:r>
          </w:p>
        </w:tc>
      </w:tr>
      <w:tr w:rsidR="00D9240A" w:rsidRPr="00E43D3D" w14:paraId="799245DC" w14:textId="77777777" w:rsidTr="00054486">
        <w:trPr>
          <w:trHeight w:val="510"/>
        </w:trPr>
        <w:tc>
          <w:tcPr>
            <w:tcW w:w="1080" w:type="dxa"/>
            <w:shd w:val="clear" w:color="auto" w:fill="FFFFFF" w:themeFill="background1"/>
            <w:noWrap/>
            <w:vAlign w:val="center"/>
            <w:hideMark/>
          </w:tcPr>
          <w:p w14:paraId="050357AB"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6C46F783" w14:textId="2844F906"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ldt_v0131: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(T04.00-c0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"Secured"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260) instruments</w:t>
            </w:r>
          </w:p>
        </w:tc>
      </w:tr>
      <w:tr w:rsidR="00D9240A" w:rsidRPr="00E43D3D" w14:paraId="0AEA0F5C" w14:textId="77777777" w:rsidTr="00054486">
        <w:trPr>
          <w:trHeight w:val="510"/>
        </w:trPr>
        <w:tc>
          <w:tcPr>
            <w:tcW w:w="1080" w:type="dxa"/>
            <w:shd w:val="clear" w:color="auto" w:fill="FFFFFF" w:themeFill="background1"/>
            <w:noWrap/>
            <w:vAlign w:val="center"/>
            <w:hideMark/>
          </w:tcPr>
          <w:p w14:paraId="7B8F1110"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3A8E94AA" w14:textId="303F99E5"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ldt_v0132: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521" / AT1 "Subordinated liabilities recognised as own funds"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"Secured"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260) instruments</w:t>
            </w:r>
          </w:p>
        </w:tc>
      </w:tr>
      <w:tr w:rsidR="00D9240A" w:rsidRPr="00E43D3D" w14:paraId="237FC349" w14:textId="77777777" w:rsidTr="00054486">
        <w:trPr>
          <w:trHeight w:val="510"/>
        </w:trPr>
        <w:tc>
          <w:tcPr>
            <w:tcW w:w="1080" w:type="dxa"/>
            <w:shd w:val="clear" w:color="auto" w:fill="FFFFFF" w:themeFill="background1"/>
            <w:noWrap/>
            <w:vAlign w:val="center"/>
            <w:hideMark/>
          </w:tcPr>
          <w:p w14:paraId="505BE87B" w14:textId="7777777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T04.00</w:t>
            </w:r>
          </w:p>
        </w:tc>
        <w:tc>
          <w:tcPr>
            <w:tcW w:w="7992" w:type="dxa"/>
            <w:shd w:val="clear" w:color="auto" w:fill="FFFFFF" w:themeFill="background1"/>
            <w:noWrap/>
            <w:vAlign w:val="center"/>
            <w:hideMark/>
          </w:tcPr>
          <w:p w14:paraId="70F28907" w14:textId="523EDBA2"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ldt_v0133: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(T04.00-c0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"Secured" (T04.00-c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260) instruments</w:t>
            </w:r>
          </w:p>
        </w:tc>
      </w:tr>
      <w:tr w:rsidR="00D9240A" w:rsidRPr="00E43D3D" w14:paraId="17FAE921" w14:textId="77777777" w:rsidTr="00054486">
        <w:trPr>
          <w:trHeight w:val="510"/>
        </w:trPr>
        <w:tc>
          <w:tcPr>
            <w:tcW w:w="1080" w:type="dxa"/>
            <w:shd w:val="clear" w:color="auto" w:fill="FFFFFF" w:themeFill="background1"/>
            <w:noWrap/>
            <w:vAlign w:val="center"/>
            <w:hideMark/>
          </w:tcPr>
          <w:p w14:paraId="7773972A" w14:textId="6FDF5C6C"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T05.0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287B29AF" w14:textId="4CD199C9"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ldt_v0134: the "Amount of pledge, lien or collateral" (T05.00-c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110) of a "Secured" (T0</w:t>
            </w:r>
            <w:r w:rsidR="00230D72">
              <w:rPr>
                <w:rFonts w:ascii="Cambria" w:eastAsia="Times New Roman" w:hAnsi="Cambria" w:cs="Times New Roman"/>
                <w:color w:val="000000"/>
                <w:sz w:val="18"/>
                <w:szCs w:val="18"/>
                <w:lang w:val="en-GB" w:eastAsia="en-GB"/>
              </w:rPr>
              <w:t>5</w:t>
            </w:r>
            <w:r w:rsidRPr="00C243CD">
              <w:rPr>
                <w:rFonts w:ascii="Cambria" w:eastAsia="Times New Roman" w:hAnsi="Cambria" w:cs="Times New Roman"/>
                <w:color w:val="000000"/>
                <w:sz w:val="18"/>
                <w:szCs w:val="18"/>
                <w:lang w:val="en-GB" w:eastAsia="en-GB"/>
              </w:rPr>
              <w:t>.00-c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100) instrument cannot be equal to 0</w:t>
            </w:r>
          </w:p>
        </w:tc>
      </w:tr>
      <w:tr w:rsidR="00D9240A" w:rsidRPr="00E43D3D" w14:paraId="76B4FC4E" w14:textId="77777777" w:rsidTr="00054486">
        <w:trPr>
          <w:trHeight w:val="510"/>
        </w:trPr>
        <w:tc>
          <w:tcPr>
            <w:tcW w:w="1080" w:type="dxa"/>
            <w:shd w:val="clear" w:color="auto" w:fill="FFFFFF" w:themeFill="background1"/>
            <w:noWrap/>
            <w:vAlign w:val="center"/>
            <w:hideMark/>
          </w:tcPr>
          <w:p w14:paraId="0FCE6691" w14:textId="66E9869B"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7C417867" w14:textId="20058817"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ldt_v0135: the "Amount of pledge, lien or collateral"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170) of a "Secured"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160) instrument cannot be equal to 0</w:t>
            </w:r>
          </w:p>
        </w:tc>
      </w:tr>
      <w:tr w:rsidR="00D9240A" w:rsidRPr="00E43D3D" w14:paraId="5FB72AF5" w14:textId="77777777" w:rsidTr="00054486">
        <w:trPr>
          <w:trHeight w:val="510"/>
        </w:trPr>
        <w:tc>
          <w:tcPr>
            <w:tcW w:w="1080" w:type="dxa"/>
            <w:shd w:val="clear" w:color="auto" w:fill="FFFFFF" w:themeFill="background1"/>
            <w:noWrap/>
            <w:vAlign w:val="center"/>
            <w:hideMark/>
          </w:tcPr>
          <w:p w14:paraId="184023F7" w14:textId="27DDCD63"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6FB0764C" w14:textId="4653A816"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ldt_v0136: the "Amount Included in Own Funds, taking into account phase-out as applicable"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220) of a "Secured"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160) instrument must be equal to 0</w:t>
            </w:r>
          </w:p>
        </w:tc>
      </w:tr>
      <w:tr w:rsidR="00D9240A" w:rsidRPr="00E43D3D" w14:paraId="4D3D4A9A" w14:textId="77777777" w:rsidTr="00054486">
        <w:trPr>
          <w:trHeight w:val="510"/>
        </w:trPr>
        <w:tc>
          <w:tcPr>
            <w:tcW w:w="1080" w:type="dxa"/>
            <w:shd w:val="clear" w:color="auto" w:fill="FFFFFF" w:themeFill="background1"/>
            <w:noWrap/>
            <w:vAlign w:val="center"/>
            <w:hideMark/>
          </w:tcPr>
          <w:p w14:paraId="10F7E1D5" w14:textId="031D2A15"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109F6047" w14:textId="0B17A443"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ldt_v0137: a "Secured"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160) instrument cannot be an instrument "Qualifying as Own Funds"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210)</w:t>
            </w:r>
          </w:p>
        </w:tc>
      </w:tr>
      <w:tr w:rsidR="00D9240A" w:rsidRPr="00E43D3D" w14:paraId="48550C43" w14:textId="77777777" w:rsidTr="00054486">
        <w:trPr>
          <w:trHeight w:val="510"/>
        </w:trPr>
        <w:tc>
          <w:tcPr>
            <w:tcW w:w="1080" w:type="dxa"/>
            <w:shd w:val="clear" w:color="auto" w:fill="FFFFFF" w:themeFill="background1"/>
            <w:noWrap/>
            <w:vAlign w:val="center"/>
            <w:hideMark/>
          </w:tcPr>
          <w:p w14:paraId="4363C25F" w14:textId="10E41650"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lastRenderedPageBreak/>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65249AD7" w14:textId="28F71050"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ldt_v0138: the "Amount of pledge, lien or collateral"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170) of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120" / "Secured liabilities - collateralized part"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instruments cannot be equal to 0</w:t>
            </w:r>
          </w:p>
        </w:tc>
      </w:tr>
      <w:tr w:rsidR="00D9240A" w:rsidRPr="00E43D3D" w14:paraId="317825D6" w14:textId="77777777" w:rsidTr="00054486">
        <w:trPr>
          <w:trHeight w:val="510"/>
        </w:trPr>
        <w:tc>
          <w:tcPr>
            <w:tcW w:w="1080" w:type="dxa"/>
            <w:shd w:val="clear" w:color="auto" w:fill="FFFFFF" w:themeFill="background1"/>
            <w:noWrap/>
            <w:vAlign w:val="center"/>
            <w:hideMark/>
          </w:tcPr>
          <w:p w14:paraId="01C43E3C" w14:textId="1938B4C3"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609439BE" w14:textId="3CE9C9D0"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ldt_v0139: the "Amount Included in Own Funds, taking into account phase-out as applicable"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220) of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equal to 0</w:t>
            </w:r>
          </w:p>
        </w:tc>
      </w:tr>
      <w:tr w:rsidR="00D9240A" w:rsidRPr="00E43D3D" w14:paraId="507F5875" w14:textId="77777777" w:rsidTr="00054486">
        <w:trPr>
          <w:trHeight w:val="510"/>
        </w:trPr>
        <w:tc>
          <w:tcPr>
            <w:tcW w:w="1080" w:type="dxa"/>
            <w:shd w:val="clear" w:color="auto" w:fill="FFFFFF" w:themeFill="background1"/>
            <w:noWrap/>
            <w:vAlign w:val="center"/>
            <w:hideMark/>
          </w:tcPr>
          <w:p w14:paraId="69505E3A" w14:textId="2F7B6213"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4B3BCEF5" w14:textId="0D52902C"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ldt_v0140: the "Amount Included in Own Funds, taking into account phase-out as applicable"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220) of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equal to 0</w:t>
            </w:r>
          </w:p>
        </w:tc>
      </w:tr>
      <w:tr w:rsidR="00D9240A" w:rsidRPr="00E43D3D" w14:paraId="5BCED6E3" w14:textId="77777777" w:rsidTr="00054486">
        <w:trPr>
          <w:trHeight w:val="510"/>
        </w:trPr>
        <w:tc>
          <w:tcPr>
            <w:tcW w:w="1080" w:type="dxa"/>
            <w:shd w:val="clear" w:color="auto" w:fill="FFFFFF" w:themeFill="background1"/>
            <w:noWrap/>
            <w:vAlign w:val="center"/>
            <w:hideMark/>
          </w:tcPr>
          <w:p w14:paraId="407156F9" w14:textId="2B6E4673"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57225976" w14:textId="22B6E756"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ldt_v0141: the "Amount Included in Own Funds, taking into account phase-out as applicable"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220) of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521" / AT1 "Subordinated liabilities recognised as own funds"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equal to 0</w:t>
            </w:r>
          </w:p>
        </w:tc>
      </w:tr>
      <w:tr w:rsidR="00D9240A" w:rsidRPr="00E43D3D" w14:paraId="4A7B75AF" w14:textId="77777777" w:rsidTr="00054486">
        <w:trPr>
          <w:trHeight w:val="510"/>
        </w:trPr>
        <w:tc>
          <w:tcPr>
            <w:tcW w:w="1080" w:type="dxa"/>
            <w:shd w:val="clear" w:color="auto" w:fill="FFFFFF" w:themeFill="background1"/>
            <w:noWrap/>
            <w:vAlign w:val="center"/>
            <w:hideMark/>
          </w:tcPr>
          <w:p w14:paraId="2916A632" w14:textId="4091718F"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64F29CEF" w14:textId="5906579F"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ldt_v0142: the "Amount Included in Own Funds, taking into account phase-out as applicable"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220) of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equal to 0</w:t>
            </w:r>
          </w:p>
        </w:tc>
      </w:tr>
      <w:tr w:rsidR="00D9240A" w:rsidRPr="00E43D3D" w14:paraId="61D270F0" w14:textId="77777777" w:rsidTr="00054486">
        <w:trPr>
          <w:trHeight w:val="510"/>
        </w:trPr>
        <w:tc>
          <w:tcPr>
            <w:tcW w:w="1080" w:type="dxa"/>
            <w:shd w:val="clear" w:color="auto" w:fill="FFFFFF" w:themeFill="background1"/>
            <w:noWrap/>
            <w:vAlign w:val="center"/>
            <w:hideMark/>
          </w:tcPr>
          <w:p w14:paraId="7D5E93E3" w14:textId="26BE553D"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305C5916" w14:textId="7C45DF66"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ldt_v0143: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must be identified as CET1 instruments "Qualifying as Own Funds"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210)</w:t>
            </w:r>
          </w:p>
        </w:tc>
      </w:tr>
      <w:tr w:rsidR="00D9240A" w:rsidRPr="00E43D3D" w14:paraId="3575AEFF" w14:textId="77777777" w:rsidTr="00054486">
        <w:trPr>
          <w:trHeight w:val="510"/>
        </w:trPr>
        <w:tc>
          <w:tcPr>
            <w:tcW w:w="1080" w:type="dxa"/>
            <w:shd w:val="clear" w:color="auto" w:fill="FFFFFF" w:themeFill="background1"/>
            <w:noWrap/>
            <w:vAlign w:val="center"/>
            <w:hideMark/>
          </w:tcPr>
          <w:p w14:paraId="6143A01F" w14:textId="6ED8DA47"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7A62A58B" w14:textId="02C7B830"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ldt_v0144: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must be identified as CET1 instruments "Qualifying as Own Funds"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210)</w:t>
            </w:r>
          </w:p>
        </w:tc>
      </w:tr>
      <w:tr w:rsidR="00D9240A" w:rsidRPr="00E43D3D" w14:paraId="532402CF" w14:textId="77777777" w:rsidTr="00054486">
        <w:trPr>
          <w:trHeight w:val="510"/>
        </w:trPr>
        <w:tc>
          <w:tcPr>
            <w:tcW w:w="1080" w:type="dxa"/>
            <w:shd w:val="clear" w:color="auto" w:fill="FFFFFF" w:themeFill="background1"/>
            <w:noWrap/>
            <w:vAlign w:val="center"/>
            <w:hideMark/>
          </w:tcPr>
          <w:p w14:paraId="7EC73CE2" w14:textId="103ABCD3"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3C77988C" w14:textId="16DB77AB"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ldt_v0145: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521" / AT1 "Subordinated liabilities recognised as own funds"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must be identified as Partially (A)T1 or T2, or Grandfathered AT1, or Fully compliant AT1 instruments "Qualifying as Own Funds"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210)</w:t>
            </w:r>
          </w:p>
        </w:tc>
      </w:tr>
      <w:tr w:rsidR="00D9240A" w:rsidRPr="00E43D3D" w14:paraId="47FCF855" w14:textId="77777777" w:rsidTr="00054486">
        <w:trPr>
          <w:trHeight w:val="510"/>
        </w:trPr>
        <w:tc>
          <w:tcPr>
            <w:tcW w:w="1080" w:type="dxa"/>
            <w:shd w:val="clear" w:color="auto" w:fill="FFFFFF" w:themeFill="background1"/>
            <w:noWrap/>
            <w:vAlign w:val="center"/>
            <w:hideMark/>
          </w:tcPr>
          <w:p w14:paraId="278C91C6" w14:textId="386A94D6"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56C112D9" w14:textId="73312711" w:rsidR="00BB7F74" w:rsidRPr="00C243CD" w:rsidRDefault="00BB7F74" w:rsidP="00A71A8E">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ldt_v0146: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must be identified as Partially (A)T1 or T2, o</w:t>
            </w:r>
            <w:r w:rsidR="00D9240A">
              <w:rPr>
                <w:rFonts w:ascii="Cambria" w:eastAsia="Times New Roman" w:hAnsi="Cambria" w:cs="Times New Roman"/>
                <w:color w:val="000000"/>
                <w:sz w:val="18"/>
                <w:szCs w:val="18"/>
                <w:lang w:val="en-GB" w:eastAsia="en-GB"/>
              </w:rPr>
              <w:t>r</w:t>
            </w:r>
            <w:r w:rsidRPr="00C243CD">
              <w:rPr>
                <w:rFonts w:ascii="Cambria" w:eastAsia="Times New Roman" w:hAnsi="Cambria" w:cs="Times New Roman"/>
                <w:color w:val="000000"/>
                <w:sz w:val="18"/>
                <w:szCs w:val="18"/>
                <w:lang w:val="en-GB" w:eastAsia="en-GB"/>
              </w:rPr>
              <w:t xml:space="preserve"> T2 in p</w:t>
            </w:r>
            <w:r w:rsidR="00D9240A">
              <w:rPr>
                <w:rFonts w:ascii="Cambria" w:eastAsia="Times New Roman" w:hAnsi="Cambria" w:cs="Times New Roman"/>
                <w:color w:val="000000"/>
                <w:sz w:val="18"/>
                <w:szCs w:val="18"/>
                <w:lang w:val="en-GB" w:eastAsia="en-GB"/>
              </w:rPr>
              <w:t>h</w:t>
            </w:r>
            <w:r w:rsidRPr="00C243CD">
              <w:rPr>
                <w:rFonts w:ascii="Cambria" w:eastAsia="Times New Roman" w:hAnsi="Cambria" w:cs="Times New Roman"/>
                <w:color w:val="000000"/>
                <w:sz w:val="18"/>
                <w:szCs w:val="18"/>
                <w:lang w:val="en-GB" w:eastAsia="en-GB"/>
              </w:rPr>
              <w:t>ase-out, or Grandfathered T2, or Fully compliant T2 instruments "Qualifying as Own Funds"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210)</w:t>
            </w:r>
          </w:p>
        </w:tc>
      </w:tr>
      <w:tr w:rsidR="00D9240A" w:rsidRPr="00E43D3D" w14:paraId="5AF5A156" w14:textId="77777777" w:rsidTr="00054486">
        <w:trPr>
          <w:trHeight w:val="510"/>
        </w:trPr>
        <w:tc>
          <w:tcPr>
            <w:tcW w:w="1080" w:type="dxa"/>
            <w:shd w:val="clear" w:color="auto" w:fill="FFFFFF" w:themeFill="background1"/>
            <w:noWrap/>
            <w:vAlign w:val="center"/>
            <w:hideMark/>
          </w:tcPr>
          <w:p w14:paraId="4ECFA520" w14:textId="6BDCB9B2"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0EFEAB13" w14:textId="04D43CB8"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ldt_v0147: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120" / "Secured liabilities - collateralized part"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must be identified as "Secured"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160) instruments</w:t>
            </w:r>
          </w:p>
        </w:tc>
      </w:tr>
      <w:tr w:rsidR="00D9240A" w:rsidRPr="00123F46" w14:paraId="1DDE6154" w14:textId="77777777" w:rsidTr="00054486">
        <w:trPr>
          <w:trHeight w:val="510"/>
        </w:trPr>
        <w:tc>
          <w:tcPr>
            <w:tcW w:w="1080" w:type="dxa"/>
            <w:shd w:val="clear" w:color="auto" w:fill="FFFFFF" w:themeFill="background1"/>
            <w:noWrap/>
            <w:vAlign w:val="center"/>
            <w:hideMark/>
          </w:tcPr>
          <w:p w14:paraId="1C3B4B3E" w14:textId="0DCCC758"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29C24BB0" w14:textId="49A3DF6C"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ldt_v0148: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511" / CET1 "Capital instruments/share capital" (T06.00-c0</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20) cannot be "Secured"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160) instruments</w:t>
            </w:r>
          </w:p>
        </w:tc>
      </w:tr>
      <w:tr w:rsidR="00D9240A" w:rsidRPr="00E43D3D" w14:paraId="11980006" w14:textId="77777777" w:rsidTr="00054486">
        <w:trPr>
          <w:trHeight w:val="510"/>
        </w:trPr>
        <w:tc>
          <w:tcPr>
            <w:tcW w:w="1080" w:type="dxa"/>
            <w:shd w:val="clear" w:color="auto" w:fill="FFFFFF" w:themeFill="background1"/>
            <w:noWrap/>
            <w:vAlign w:val="center"/>
            <w:hideMark/>
          </w:tcPr>
          <w:p w14:paraId="77488471" w14:textId="0408412E"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340DD458" w14:textId="64AD7219"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ldt_v0149: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"Secured"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160) instruments</w:t>
            </w:r>
          </w:p>
        </w:tc>
      </w:tr>
      <w:tr w:rsidR="00D9240A" w:rsidRPr="00E43D3D" w14:paraId="2FB29356" w14:textId="77777777" w:rsidTr="00054486">
        <w:trPr>
          <w:trHeight w:val="510"/>
        </w:trPr>
        <w:tc>
          <w:tcPr>
            <w:tcW w:w="1080" w:type="dxa"/>
            <w:shd w:val="clear" w:color="auto" w:fill="FFFFFF" w:themeFill="background1"/>
            <w:noWrap/>
            <w:vAlign w:val="center"/>
            <w:hideMark/>
          </w:tcPr>
          <w:p w14:paraId="0F45A7AC" w14:textId="4BB93CC1"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7E3E1B84" w14:textId="349E0F56"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ldt_v0150: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512" / CET1 "Instruments ranking pari passu with ordinary shares"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"Secured"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160) instruments</w:t>
            </w:r>
          </w:p>
        </w:tc>
      </w:tr>
      <w:tr w:rsidR="00D9240A" w:rsidRPr="00E43D3D" w14:paraId="18857531" w14:textId="77777777" w:rsidTr="00054486">
        <w:trPr>
          <w:trHeight w:val="510"/>
        </w:trPr>
        <w:tc>
          <w:tcPr>
            <w:tcW w:w="1080" w:type="dxa"/>
            <w:shd w:val="clear" w:color="auto" w:fill="FFFFFF" w:themeFill="background1"/>
            <w:noWrap/>
            <w:vAlign w:val="center"/>
            <w:hideMark/>
          </w:tcPr>
          <w:p w14:paraId="70CB11CC" w14:textId="1C5C970D" w:rsidR="00BB7F74" w:rsidRPr="00C243CD" w:rsidRDefault="00BB7F74" w:rsidP="00BB7F74">
            <w:pPr>
              <w:spacing w:line="240" w:lineRule="auto"/>
              <w:rPr>
                <w:rFonts w:ascii="Cambria" w:eastAsia="Times New Roman" w:hAnsi="Cambria" w:cs="Times New Roman"/>
                <w:b/>
                <w:bCs/>
                <w:color w:val="000000"/>
                <w:sz w:val="18"/>
                <w:szCs w:val="18"/>
                <w:lang w:val="en-GB" w:eastAsia="en-GB"/>
              </w:rPr>
            </w:pPr>
            <w:r w:rsidRPr="00C243CD">
              <w:rPr>
                <w:rFonts w:ascii="Cambria" w:eastAsia="Times New Roman" w:hAnsi="Cambria" w:cs="Times New Roman"/>
                <w:b/>
                <w:bCs/>
                <w:color w:val="000000"/>
                <w:sz w:val="18"/>
                <w:szCs w:val="18"/>
                <w:lang w:val="en-GB" w:eastAsia="en-GB"/>
              </w:rPr>
              <w:t>T06.0</w:t>
            </w:r>
            <w:r w:rsidR="00570D4D">
              <w:rPr>
                <w:rFonts w:ascii="Cambria" w:eastAsia="Times New Roman" w:hAnsi="Cambria" w:cs="Times New Roman"/>
                <w:b/>
                <w:bCs/>
                <w:color w:val="000000"/>
                <w:sz w:val="18"/>
                <w:szCs w:val="18"/>
                <w:lang w:val="en-GB" w:eastAsia="en-GB"/>
              </w:rPr>
              <w:t>1</w:t>
            </w:r>
          </w:p>
        </w:tc>
        <w:tc>
          <w:tcPr>
            <w:tcW w:w="7992" w:type="dxa"/>
            <w:shd w:val="clear" w:color="auto" w:fill="FFFFFF" w:themeFill="background1"/>
            <w:noWrap/>
            <w:vAlign w:val="center"/>
            <w:hideMark/>
          </w:tcPr>
          <w:p w14:paraId="3976AADB" w14:textId="6CBF1CF1" w:rsidR="00BB7F74" w:rsidRPr="00C243CD" w:rsidRDefault="00BB7F74" w:rsidP="00BB7F74">
            <w:pPr>
              <w:spacing w:line="240" w:lineRule="auto"/>
              <w:rPr>
                <w:rFonts w:ascii="Cambria" w:eastAsia="Times New Roman" w:hAnsi="Cambria" w:cs="Times New Roman"/>
                <w:color w:val="000000"/>
                <w:sz w:val="18"/>
                <w:szCs w:val="18"/>
                <w:lang w:val="en-GB" w:eastAsia="en-GB"/>
              </w:rPr>
            </w:pPr>
            <w:r w:rsidRPr="00C243CD">
              <w:rPr>
                <w:rFonts w:ascii="Cambria" w:eastAsia="Times New Roman" w:hAnsi="Cambria" w:cs="Times New Roman"/>
                <w:color w:val="000000"/>
                <w:sz w:val="18"/>
                <w:szCs w:val="18"/>
                <w:lang w:val="en-GB" w:eastAsia="en-GB"/>
              </w:rPr>
              <w:t>ldt_v0151: "r</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531" / T2 "Subordinated liabilities recognised as own funds"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020) cannot be "Secured" (T06.00-c</w:t>
            </w:r>
            <w:r w:rsidR="00230D72">
              <w:rPr>
                <w:rFonts w:ascii="Cambria" w:eastAsia="Times New Roman" w:hAnsi="Cambria" w:cs="Times New Roman"/>
                <w:color w:val="000000"/>
                <w:sz w:val="18"/>
                <w:szCs w:val="18"/>
                <w:lang w:val="en-GB" w:eastAsia="en-GB"/>
              </w:rPr>
              <w:t>0</w:t>
            </w:r>
            <w:r w:rsidRPr="00C243CD">
              <w:rPr>
                <w:rFonts w:ascii="Cambria" w:eastAsia="Times New Roman" w:hAnsi="Cambria" w:cs="Times New Roman"/>
                <w:color w:val="000000"/>
                <w:sz w:val="18"/>
                <w:szCs w:val="18"/>
                <w:lang w:val="en-GB" w:eastAsia="en-GB"/>
              </w:rPr>
              <w:t>160) instruments</w:t>
            </w:r>
          </w:p>
        </w:tc>
      </w:tr>
    </w:tbl>
    <w:p w14:paraId="4F5EAC63" w14:textId="77777777" w:rsidR="00BB7F74" w:rsidRPr="00706844" w:rsidRDefault="00BB7F74" w:rsidP="00C243CD">
      <w:pPr>
        <w:ind w:left="360"/>
        <w:rPr>
          <w:rFonts w:ascii="Cambria" w:hAnsi="Cambria"/>
          <w:sz w:val="24"/>
          <w:szCs w:val="24"/>
          <w:lang w:val="en-GB"/>
        </w:rPr>
      </w:pPr>
    </w:p>
    <w:p w14:paraId="3BEC4580" w14:textId="4DAED6D6" w:rsidR="00B64B52" w:rsidRPr="00C243CD" w:rsidRDefault="00B64B52" w:rsidP="00B64B52">
      <w:pPr>
        <w:rPr>
          <w:rFonts w:ascii="Cambria" w:hAnsi="Cambria"/>
          <w:lang w:val="en-GB"/>
        </w:rPr>
      </w:pPr>
      <w:r w:rsidRPr="00C243CD">
        <w:rPr>
          <w:rFonts w:ascii="Cambria" w:hAnsi="Cambria"/>
          <w:lang w:val="en-GB"/>
        </w:rPr>
        <w:t xml:space="preserve">Aside from these rules, further checks are performed regarding the reconciliation of granular data in tables T03.01 and T04.00 through T08.00 with the aggregated view presented in T01.00. </w:t>
      </w:r>
      <w:r w:rsidR="0098538F">
        <w:rPr>
          <w:rFonts w:ascii="Cambria" w:hAnsi="Cambria"/>
          <w:lang w:val="en-GB"/>
        </w:rPr>
        <w:t>In this respect, s</w:t>
      </w:r>
      <w:r w:rsidRPr="00C243CD">
        <w:rPr>
          <w:rFonts w:ascii="Cambria" w:hAnsi="Cambria"/>
          <w:lang w:val="en-GB"/>
        </w:rPr>
        <w:t>ome specific points of attention should be taken into account:</w:t>
      </w:r>
    </w:p>
    <w:p w14:paraId="72330C73" w14:textId="4D66B87E" w:rsidR="00B64B52" w:rsidRPr="00706844" w:rsidRDefault="00B64B52" w:rsidP="00B64B52">
      <w:pPr>
        <w:pStyle w:val="ListParagraph"/>
        <w:numPr>
          <w:ilvl w:val="0"/>
          <w:numId w:val="29"/>
        </w:numPr>
        <w:rPr>
          <w:lang w:val="en-GB"/>
        </w:rPr>
      </w:pPr>
      <w:r w:rsidRPr="00C243CD">
        <w:rPr>
          <w:sz w:val="20"/>
          <w:lang w:val="en-GB"/>
        </w:rPr>
        <w:t>The reconciliation of the collateralized and uncollateralized parts of a secured transaction</w:t>
      </w:r>
      <w:r w:rsidR="00BF337A">
        <w:rPr>
          <w:sz w:val="20"/>
          <w:lang w:val="en-GB"/>
        </w:rPr>
        <w:t xml:space="preserve"> reported</w:t>
      </w:r>
      <w:r w:rsidRPr="00C243CD">
        <w:rPr>
          <w:sz w:val="20"/>
          <w:lang w:val="en-GB"/>
        </w:rPr>
        <w:t xml:space="preserve"> in the granular </w:t>
      </w:r>
      <w:r w:rsidR="00BF337A">
        <w:rPr>
          <w:sz w:val="20"/>
          <w:lang w:val="en-GB"/>
        </w:rPr>
        <w:t>tabs</w:t>
      </w:r>
      <w:r w:rsidRPr="00C243CD">
        <w:rPr>
          <w:sz w:val="20"/>
          <w:lang w:val="en-GB"/>
        </w:rPr>
        <w:t xml:space="preserve"> should match the distribution between secured liabilities (r0120) and uncollateralized secured liabilities (r0340)</w:t>
      </w:r>
      <w:r w:rsidR="00BF337A">
        <w:rPr>
          <w:sz w:val="20"/>
          <w:lang w:val="en-GB"/>
        </w:rPr>
        <w:t xml:space="preserve"> </w:t>
      </w:r>
      <w:r w:rsidR="00BF337A" w:rsidRPr="00C243CD">
        <w:rPr>
          <w:sz w:val="20"/>
          <w:lang w:val="en-GB"/>
        </w:rPr>
        <w:t xml:space="preserve">in </w:t>
      </w:r>
      <w:r w:rsidR="00BF337A">
        <w:rPr>
          <w:sz w:val="20"/>
          <w:lang w:val="en-GB"/>
        </w:rPr>
        <w:t xml:space="preserve">table </w:t>
      </w:r>
      <w:r w:rsidR="00BF337A" w:rsidRPr="00C243CD">
        <w:rPr>
          <w:sz w:val="20"/>
          <w:lang w:val="en-GB"/>
        </w:rPr>
        <w:t>T01.00</w:t>
      </w:r>
      <w:r w:rsidR="00984D67">
        <w:rPr>
          <w:sz w:val="20"/>
          <w:lang w:val="en-GB"/>
        </w:rPr>
        <w:t xml:space="preserve"> (see also simplified example below);</w:t>
      </w:r>
    </w:p>
    <w:p w14:paraId="4E83247D" w14:textId="78C08898" w:rsidR="00984D67" w:rsidRDefault="00B64B52" w:rsidP="00984D67">
      <w:pPr>
        <w:pStyle w:val="ListParagraph"/>
        <w:numPr>
          <w:ilvl w:val="0"/>
          <w:numId w:val="29"/>
        </w:numPr>
        <w:rPr>
          <w:sz w:val="20"/>
          <w:lang w:val="en-GB"/>
        </w:rPr>
        <w:sectPr w:rsidR="00984D67" w:rsidSect="007025A8">
          <w:pgSz w:w="11906" w:h="16838"/>
          <w:pgMar w:top="1440" w:right="1440" w:bottom="1440" w:left="1440" w:header="709" w:footer="709" w:gutter="0"/>
          <w:cols w:space="708"/>
          <w:titlePg/>
          <w:docGrid w:linePitch="360"/>
        </w:sectPr>
      </w:pPr>
      <w:r w:rsidRPr="00C243CD">
        <w:rPr>
          <w:sz w:val="20"/>
          <w:lang w:val="en-GB"/>
        </w:rPr>
        <w:t xml:space="preserve">The reconciliation of instruments reported in the granular </w:t>
      </w:r>
      <w:r w:rsidR="00BF337A">
        <w:rPr>
          <w:sz w:val="20"/>
          <w:lang w:val="en-GB"/>
        </w:rPr>
        <w:t>tabs</w:t>
      </w:r>
      <w:r w:rsidRPr="00C243CD">
        <w:rPr>
          <w:sz w:val="20"/>
          <w:lang w:val="en-GB"/>
        </w:rPr>
        <w:t xml:space="preserve"> as qualifying as own funds, should match the classification of instruments in </w:t>
      </w:r>
      <w:r w:rsidR="00BF337A">
        <w:rPr>
          <w:sz w:val="20"/>
          <w:lang w:val="en-GB"/>
        </w:rPr>
        <w:t xml:space="preserve">table </w:t>
      </w:r>
      <w:r w:rsidRPr="00C243CD">
        <w:rPr>
          <w:sz w:val="20"/>
          <w:lang w:val="en-GB"/>
        </w:rPr>
        <w:t>T01.00 in rows r0511, r0512, r0521, r0531 and/or r0370</w:t>
      </w:r>
      <w:r w:rsidR="00F8169F">
        <w:rPr>
          <w:sz w:val="20"/>
          <w:lang w:val="en-GB"/>
        </w:rPr>
        <w:t xml:space="preserve"> (for the part that is no longer considered as qualifying as own funds)</w:t>
      </w:r>
      <w:r w:rsidRPr="00C243CD">
        <w:rPr>
          <w:sz w:val="20"/>
          <w:lang w:val="en-GB"/>
        </w:rPr>
        <w:t>.</w:t>
      </w:r>
    </w:p>
    <w:p w14:paraId="32E4D552" w14:textId="479B0A92" w:rsidR="00984D67" w:rsidRDefault="00984D67" w:rsidP="00054486">
      <w:pPr>
        <w:rPr>
          <w:lang w:val="en-GB"/>
        </w:rPr>
      </w:pPr>
      <w:r w:rsidRPr="00C243CD">
        <w:rPr>
          <w:rFonts w:ascii="Cambria" w:hAnsi="Cambria"/>
          <w:noProof/>
          <w:lang w:val="en-GB" w:eastAsia="en-GB"/>
        </w:rPr>
        <w:lastRenderedPageBreak/>
        <mc:AlternateContent>
          <mc:Choice Requires="wps">
            <w:drawing>
              <wp:anchor distT="0" distB="0" distL="114300" distR="114300" simplePos="0" relativeHeight="251658253" behindDoc="0" locked="0" layoutInCell="1" allowOverlap="1" wp14:anchorId="36B48B66" wp14:editId="1B4847FE">
                <wp:simplePos x="0" y="0"/>
                <wp:positionH relativeFrom="margin">
                  <wp:align>left</wp:align>
                </wp:positionH>
                <wp:positionV relativeFrom="paragraph">
                  <wp:posOffset>527595</wp:posOffset>
                </wp:positionV>
                <wp:extent cx="9132389" cy="4544786"/>
                <wp:effectExtent l="0" t="0" r="12065" b="27305"/>
                <wp:wrapNone/>
                <wp:docPr id="20" name="Text Box 20"/>
                <wp:cNvGraphicFramePr/>
                <a:graphic xmlns:a="http://schemas.openxmlformats.org/drawingml/2006/main">
                  <a:graphicData uri="http://schemas.microsoft.com/office/word/2010/wordprocessingShape">
                    <wps:wsp>
                      <wps:cNvSpPr txBox="1"/>
                      <wps:spPr>
                        <a:xfrm>
                          <a:off x="0" y="0"/>
                          <a:ext cx="9132389" cy="4544786"/>
                        </a:xfrm>
                        <a:prstGeom prst="rect">
                          <a:avLst/>
                        </a:prstGeom>
                        <a:solidFill>
                          <a:sysClr val="window" lastClr="FFFFFF"/>
                        </a:solidFill>
                        <a:ln w="6350">
                          <a:solidFill>
                            <a:prstClr val="black"/>
                          </a:solidFill>
                        </a:ln>
                        <a:effectLst/>
                      </wps:spPr>
                      <wps:txbx>
                        <w:txbxContent>
                          <w:p w14:paraId="4731470A" w14:textId="77777777" w:rsidR="002D45CF" w:rsidRPr="00991041" w:rsidRDefault="002D45CF" w:rsidP="00984D67">
                            <w:pPr>
                              <w:rPr>
                                <w:b/>
                                <w:lang w:val="en-GB"/>
                              </w:rPr>
                            </w:pPr>
                            <w:r>
                              <w:rPr>
                                <w:b/>
                                <w:lang w:val="en-GB"/>
                              </w:rPr>
                              <w:t>Simplified e</w:t>
                            </w:r>
                            <w:r w:rsidRPr="00991041">
                              <w:rPr>
                                <w:b/>
                                <w:lang w:val="en-GB"/>
                              </w:rPr>
                              <w:t>xample</w:t>
                            </w:r>
                          </w:p>
                          <w:p w14:paraId="487F36FB" w14:textId="77777777" w:rsidR="002D45CF" w:rsidRPr="00991041" w:rsidRDefault="002D45CF" w:rsidP="00984D67">
                            <w:pPr>
                              <w:rPr>
                                <w:lang w:val="en-GB"/>
                              </w:rPr>
                            </w:pPr>
                          </w:p>
                          <w:p w14:paraId="536D07AF" w14:textId="51FADF7F" w:rsidR="002D45CF" w:rsidRPr="007A7C3A" w:rsidRDefault="002D45CF" w:rsidP="00984D67">
                            <w:pPr>
                              <w:rPr>
                                <w:lang w:val="en-GB"/>
                              </w:rPr>
                            </w:pPr>
                            <w:r>
                              <w:rPr>
                                <w:lang w:val="en-GB"/>
                              </w:rPr>
                              <w:t>T</w:t>
                            </w:r>
                            <w:r w:rsidRPr="007A7C3A">
                              <w:rPr>
                                <w:lang w:val="en-GB"/>
                              </w:rPr>
                              <w:t xml:space="preserve">he amount of secured liabilities (inter alia, liabilities for which collateral has been pledged) that exceeds the value of the assets, pledge, lien or collateral </w:t>
                            </w:r>
                            <w:r>
                              <w:rPr>
                                <w:lang w:val="en-GB"/>
                              </w:rPr>
                              <w:t>by</w:t>
                            </w:r>
                            <w:r w:rsidRPr="007A7C3A">
                              <w:rPr>
                                <w:lang w:val="en-GB"/>
                              </w:rPr>
                              <w:t xml:space="preserve"> which it is secured (i.e. the uncovered amount of these secured liabilities) sh</w:t>
                            </w:r>
                            <w:r>
                              <w:rPr>
                                <w:lang w:val="en-GB"/>
                              </w:rPr>
                              <w:t>ould</w:t>
                            </w:r>
                            <w:r w:rsidRPr="007A7C3A">
                              <w:rPr>
                                <w:lang w:val="en-GB"/>
                              </w:rPr>
                              <w:t xml:space="preserve"> not be reported under line </w:t>
                            </w:r>
                            <w:r>
                              <w:rPr>
                                <w:lang w:val="en-GB"/>
                              </w:rPr>
                              <w:t>r01</w:t>
                            </w:r>
                            <w:r w:rsidRPr="007A7C3A">
                              <w:rPr>
                                <w:lang w:val="en-GB"/>
                              </w:rPr>
                              <w:t xml:space="preserve">20, but it </w:t>
                            </w:r>
                            <w:r>
                              <w:rPr>
                                <w:lang w:val="en-GB"/>
                              </w:rPr>
                              <w:t xml:space="preserve">has to </w:t>
                            </w:r>
                            <w:r w:rsidRPr="007A7C3A">
                              <w:rPr>
                                <w:lang w:val="en-GB"/>
                              </w:rPr>
                              <w:t xml:space="preserve">be reported under line </w:t>
                            </w:r>
                            <w:r>
                              <w:rPr>
                                <w:lang w:val="en-GB"/>
                              </w:rPr>
                              <w:t>r03</w:t>
                            </w:r>
                            <w:r w:rsidRPr="007A7C3A">
                              <w:rPr>
                                <w:lang w:val="en-GB"/>
                              </w:rPr>
                              <w:t xml:space="preserve">40, subject to an additional </w:t>
                            </w:r>
                            <w:r>
                              <w:rPr>
                                <w:lang w:val="en-GB"/>
                              </w:rPr>
                              <w:t xml:space="preserve">maturity </w:t>
                            </w:r>
                            <w:r w:rsidRPr="007A7C3A">
                              <w:rPr>
                                <w:lang w:val="en-GB"/>
                              </w:rPr>
                              <w:t>breakdown.</w:t>
                            </w:r>
                            <w:r>
                              <w:rPr>
                                <w:lang w:val="en-GB"/>
                              </w:rPr>
                              <w:t xml:space="preserve"> </w:t>
                            </w:r>
                            <w:r w:rsidRPr="007A7C3A">
                              <w:rPr>
                                <w:lang w:val="en-GB"/>
                              </w:rPr>
                              <w:t xml:space="preserve">The unsecured portion of secured liabilities is given by the difference between (i) the </w:t>
                            </w:r>
                            <w:r>
                              <w:rPr>
                                <w:lang w:val="en-GB"/>
                              </w:rPr>
                              <w:t>‘</w:t>
                            </w:r>
                            <w:r w:rsidRPr="007A7C3A">
                              <w:rPr>
                                <w:lang w:val="en-GB"/>
                              </w:rPr>
                              <w:t>Outstanding Principal Amount</w:t>
                            </w:r>
                            <w:r>
                              <w:rPr>
                                <w:lang w:val="en-GB"/>
                              </w:rPr>
                              <w:t>’</w:t>
                            </w:r>
                            <w:r w:rsidRPr="007A7C3A">
                              <w:rPr>
                                <w:lang w:val="en-GB"/>
                              </w:rPr>
                              <w:t xml:space="preserve"> plus </w:t>
                            </w:r>
                            <w:r>
                              <w:rPr>
                                <w:lang w:val="en-GB"/>
                              </w:rPr>
                              <w:t>‘</w:t>
                            </w:r>
                            <w:r w:rsidRPr="007A7C3A">
                              <w:rPr>
                                <w:lang w:val="en-GB"/>
                              </w:rPr>
                              <w:t>Accrued Interest</w:t>
                            </w:r>
                            <w:r>
                              <w:rPr>
                                <w:lang w:val="en-GB"/>
                              </w:rPr>
                              <w:t>’</w:t>
                            </w:r>
                            <w:r w:rsidRPr="007A7C3A">
                              <w:rPr>
                                <w:lang w:val="en-GB"/>
                              </w:rPr>
                              <w:t xml:space="preserve"> and (ii) the </w:t>
                            </w:r>
                            <w:r>
                              <w:rPr>
                                <w:lang w:val="en-GB"/>
                              </w:rPr>
                              <w:t>‘</w:t>
                            </w:r>
                            <w:r w:rsidRPr="007A7C3A">
                              <w:rPr>
                                <w:lang w:val="en-GB"/>
                              </w:rPr>
                              <w:t>Amount of pledge, lien or collateral</w:t>
                            </w:r>
                            <w:r>
                              <w:rPr>
                                <w:lang w:val="en-GB"/>
                              </w:rPr>
                              <w:t>’</w:t>
                            </w:r>
                            <w:r w:rsidRPr="007A7C3A">
                              <w:rPr>
                                <w:lang w:val="en-GB"/>
                              </w:rPr>
                              <w:t xml:space="preserve"> </w:t>
                            </w:r>
                            <w:r>
                              <w:rPr>
                                <w:lang w:val="en-GB"/>
                              </w:rPr>
                              <w:t xml:space="preserve">by </w:t>
                            </w:r>
                            <w:r w:rsidRPr="007A7C3A">
                              <w:rPr>
                                <w:lang w:val="en-GB"/>
                              </w:rPr>
                              <w:t>which the liability is secured</w:t>
                            </w:r>
                            <w:r>
                              <w:rPr>
                                <w:lang w:val="en-GB"/>
                              </w:rPr>
                              <w:t>.</w:t>
                            </w:r>
                            <w:r w:rsidRPr="007A7C3A">
                              <w:rPr>
                                <w:lang w:val="en-GB"/>
                              </w:rPr>
                              <w:t xml:space="preserve"> </w:t>
                            </w:r>
                            <w:r>
                              <w:rPr>
                                <w:lang w:val="en-GB"/>
                              </w:rPr>
                              <w:t>S</w:t>
                            </w:r>
                            <w:r w:rsidRPr="007A7C3A">
                              <w:rPr>
                                <w:lang w:val="en-GB"/>
                              </w:rPr>
                              <w:t xml:space="preserve">uch difference, when referred to secured liabilities, shall be reported under line </w:t>
                            </w:r>
                            <w:r>
                              <w:rPr>
                                <w:lang w:val="en-GB"/>
                              </w:rPr>
                              <w:t>r03</w:t>
                            </w:r>
                            <w:r w:rsidRPr="007A7C3A">
                              <w:rPr>
                                <w:lang w:val="en-GB"/>
                              </w:rPr>
                              <w:t>40 of T01.00.</w:t>
                            </w:r>
                          </w:p>
                          <w:p w14:paraId="18CCAFE0" w14:textId="77777777" w:rsidR="002D45CF" w:rsidRPr="007A7C3A" w:rsidRDefault="002D45CF" w:rsidP="00984D67">
                            <w:pPr>
                              <w:rPr>
                                <w:lang w:val="en-GB"/>
                              </w:rPr>
                            </w:pPr>
                          </w:p>
                          <w:p w14:paraId="7F83DC0B" w14:textId="205CF1A4" w:rsidR="002D45CF" w:rsidRPr="00247671" w:rsidRDefault="002D45CF" w:rsidP="00984D67">
                            <w:pPr>
                              <w:rPr>
                                <w:lang w:val="en-GB"/>
                              </w:rPr>
                            </w:pPr>
                            <w:r w:rsidRPr="007A7C3A">
                              <w:rPr>
                                <w:lang w:val="en-GB"/>
                              </w:rPr>
                              <w:t xml:space="preserve">In the following example, an institution has issued secured bonds in different amounts, legal structures and maturities. </w:t>
                            </w:r>
                            <w:r w:rsidRPr="006550F9">
                              <w:rPr>
                                <w:b/>
                                <w:lang w:val="en-GB"/>
                              </w:rPr>
                              <w:t>The un</w:t>
                            </w:r>
                            <w:r>
                              <w:rPr>
                                <w:b/>
                                <w:lang w:val="en-GB"/>
                              </w:rPr>
                              <w:t>collateralized</w:t>
                            </w:r>
                            <w:r w:rsidRPr="006550F9">
                              <w:rPr>
                                <w:b/>
                                <w:lang w:val="en-GB"/>
                              </w:rPr>
                              <w:t xml:space="preserve"> portion of the secured liabilities (in the table below </w:t>
                            </w:r>
                            <w:r>
                              <w:rPr>
                                <w:b/>
                                <w:lang w:val="en-GB"/>
                              </w:rPr>
                              <w:t>EUR</w:t>
                            </w:r>
                            <w:r w:rsidRPr="006550F9">
                              <w:rPr>
                                <w:b/>
                                <w:lang w:val="en-GB"/>
                              </w:rPr>
                              <w:t xml:space="preserve"> 161,500,000) shall be reported under line </w:t>
                            </w:r>
                            <w:r>
                              <w:rPr>
                                <w:b/>
                                <w:lang w:val="en-GB"/>
                              </w:rPr>
                              <w:t>r03</w:t>
                            </w:r>
                            <w:r w:rsidRPr="006550F9">
                              <w:rPr>
                                <w:b/>
                                <w:lang w:val="en-GB"/>
                              </w:rPr>
                              <w:t>40 of T01.00.</w:t>
                            </w:r>
                          </w:p>
                          <w:p w14:paraId="009D90A1" w14:textId="77777777" w:rsidR="002D45CF" w:rsidRPr="00991041" w:rsidRDefault="002D45CF" w:rsidP="00984D67">
                            <w:pPr>
                              <w:rPr>
                                <w:sz w:val="16"/>
                                <w:lang w:val="en-GB"/>
                              </w:rPr>
                            </w:pPr>
                          </w:p>
                          <w:p w14:paraId="37C22311" w14:textId="77777777" w:rsidR="002D45CF" w:rsidRDefault="002D45CF" w:rsidP="00984D67">
                            <w:pPr>
                              <w:rPr>
                                <w:lang w:val="en-GB"/>
                              </w:rPr>
                            </w:pPr>
                            <w:r w:rsidRPr="007A7C3A">
                              <w:rPr>
                                <w:lang w:val="en-GB"/>
                              </w:rPr>
                              <w:t xml:space="preserve">This reporting rule shall be applied to all secured liabilities reported in tabs </w:t>
                            </w:r>
                            <w:r>
                              <w:rPr>
                                <w:lang w:val="en-GB"/>
                              </w:rPr>
                              <w:t xml:space="preserve">T03.01, </w:t>
                            </w:r>
                            <w:r w:rsidRPr="007A7C3A">
                              <w:rPr>
                                <w:lang w:val="en-GB"/>
                              </w:rPr>
                              <w:t>T04.00, T05.00, T06.00, T08.00.</w:t>
                            </w:r>
                            <w:r>
                              <w:rPr>
                                <w:lang w:val="en-GB"/>
                              </w:rPr>
                              <w:t xml:space="preserve"> For the latter table, please note that the rule is slightly different due to the nature of the report and merely refers to the net amount of funding received, decreased by the net amount of collateral posted to determine any uncollateralized portion of these liabilities.</w:t>
                            </w:r>
                          </w:p>
                          <w:p w14:paraId="2DC80DF5" w14:textId="77777777" w:rsidR="002D45CF" w:rsidRDefault="002D45CF" w:rsidP="00984D67">
                            <w:pPr>
                              <w:rPr>
                                <w:lang w:val="en-GB"/>
                              </w:rPr>
                            </w:pPr>
                          </w:p>
                          <w:tbl>
                            <w:tblPr>
                              <w:tblW w:w="0" w:type="auto"/>
                              <w:tblLook w:val="04A0" w:firstRow="1" w:lastRow="0" w:firstColumn="1" w:lastColumn="0" w:noHBand="0" w:noVBand="1"/>
                            </w:tblPr>
                            <w:tblGrid>
                              <w:gridCol w:w="1207"/>
                              <w:gridCol w:w="1206"/>
                              <w:gridCol w:w="1299"/>
                              <w:gridCol w:w="1548"/>
                              <w:gridCol w:w="1126"/>
                              <w:gridCol w:w="1380"/>
                              <w:gridCol w:w="1161"/>
                              <w:gridCol w:w="1555"/>
                              <w:gridCol w:w="222"/>
                              <w:gridCol w:w="1116"/>
                              <w:gridCol w:w="2263"/>
                            </w:tblGrid>
                            <w:tr w:rsidR="002D45CF" w:rsidRPr="007A7C3A" w14:paraId="4CE72C03" w14:textId="77777777" w:rsidTr="007A7C3A">
                              <w:tc>
                                <w:tcPr>
                                  <w:tcW w:w="0" w:type="auto"/>
                                  <w:tcBorders>
                                    <w:top w:val="nil"/>
                                    <w:left w:val="nil"/>
                                    <w:bottom w:val="nil"/>
                                    <w:right w:val="nil"/>
                                  </w:tcBorders>
                                  <w:shd w:val="clear" w:color="auto" w:fill="auto"/>
                                  <w:noWrap/>
                                  <w:vAlign w:val="bottom"/>
                                  <w:hideMark/>
                                </w:tcPr>
                                <w:p w14:paraId="6ECC3995"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2BC9F135"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D373D44"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650B0"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C25ADB"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B</w:t>
                                  </w:r>
                                </w:p>
                              </w:tc>
                              <w:tc>
                                <w:tcPr>
                                  <w:tcW w:w="0" w:type="auto"/>
                                  <w:tcBorders>
                                    <w:top w:val="nil"/>
                                    <w:left w:val="nil"/>
                                    <w:bottom w:val="nil"/>
                                    <w:right w:val="nil"/>
                                  </w:tcBorders>
                                  <w:shd w:val="clear" w:color="auto" w:fill="auto"/>
                                  <w:noWrap/>
                                  <w:vAlign w:val="bottom"/>
                                  <w:hideMark/>
                                </w:tcPr>
                                <w:p w14:paraId="24248B7B" w14:textId="77777777" w:rsidR="002D45CF" w:rsidRPr="006550F9" w:rsidRDefault="002D45CF" w:rsidP="007A7C3A">
                                  <w:pPr>
                                    <w:spacing w:line="240" w:lineRule="auto"/>
                                    <w:jc w:val="center"/>
                                    <w:rPr>
                                      <w:rFonts w:eastAsia="Times New Roman" w:cs="Arial"/>
                                      <w:sz w:val="14"/>
                                      <w:szCs w:val="16"/>
                                      <w:lang w:val="en-GB" w:eastAsia="en-GB"/>
                                    </w:rPr>
                                  </w:pPr>
                                </w:p>
                              </w:tc>
                              <w:tc>
                                <w:tcPr>
                                  <w:tcW w:w="0" w:type="auto"/>
                                  <w:tcBorders>
                                    <w:top w:val="nil"/>
                                    <w:left w:val="nil"/>
                                    <w:bottom w:val="nil"/>
                                    <w:right w:val="nil"/>
                                  </w:tcBorders>
                                  <w:shd w:val="clear" w:color="auto" w:fill="auto"/>
                                  <w:noWrap/>
                                  <w:vAlign w:val="bottom"/>
                                  <w:hideMark/>
                                </w:tcPr>
                                <w:p w14:paraId="2907B458"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E5276"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C</w:t>
                                  </w:r>
                                </w:p>
                              </w:tc>
                              <w:tc>
                                <w:tcPr>
                                  <w:tcW w:w="0" w:type="auto"/>
                                  <w:tcBorders>
                                    <w:top w:val="nil"/>
                                    <w:left w:val="nil"/>
                                    <w:bottom w:val="nil"/>
                                    <w:right w:val="nil"/>
                                  </w:tcBorders>
                                  <w:shd w:val="clear" w:color="auto" w:fill="auto"/>
                                  <w:noWrap/>
                                  <w:vAlign w:val="bottom"/>
                                  <w:hideMark/>
                                </w:tcPr>
                                <w:p w14:paraId="7FCE3F12" w14:textId="77777777" w:rsidR="002D45CF" w:rsidRPr="006550F9" w:rsidRDefault="002D45CF" w:rsidP="007A7C3A">
                                  <w:pPr>
                                    <w:spacing w:line="240" w:lineRule="auto"/>
                                    <w:jc w:val="center"/>
                                    <w:rPr>
                                      <w:rFonts w:eastAsia="Times New Roman" w:cs="Arial"/>
                                      <w:sz w:val="14"/>
                                      <w:szCs w:val="16"/>
                                      <w:lang w:val="en-GB" w:eastAsia="en-GB"/>
                                    </w:rPr>
                                  </w:pPr>
                                </w:p>
                              </w:tc>
                              <w:tc>
                                <w:tcPr>
                                  <w:tcW w:w="0" w:type="auto"/>
                                  <w:tcBorders>
                                    <w:top w:val="nil"/>
                                    <w:left w:val="nil"/>
                                    <w:bottom w:val="nil"/>
                                    <w:right w:val="nil"/>
                                  </w:tcBorders>
                                  <w:shd w:val="clear" w:color="auto" w:fill="auto"/>
                                  <w:noWrap/>
                                  <w:vAlign w:val="bottom"/>
                                  <w:hideMark/>
                                </w:tcPr>
                                <w:p w14:paraId="26569D50"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63DDBEA2" w14:textId="77777777" w:rsidR="002D45CF" w:rsidRPr="006550F9" w:rsidRDefault="002D45CF" w:rsidP="007A7C3A">
                                  <w:pPr>
                                    <w:spacing w:line="240" w:lineRule="auto"/>
                                    <w:jc w:val="left"/>
                                    <w:rPr>
                                      <w:rFonts w:eastAsia="Times New Roman" w:cs="Times New Roman"/>
                                      <w:sz w:val="14"/>
                                      <w:szCs w:val="16"/>
                                      <w:lang w:val="en-GB" w:eastAsia="en-GB"/>
                                    </w:rPr>
                                  </w:pPr>
                                </w:p>
                              </w:tc>
                            </w:tr>
                            <w:tr w:rsidR="002D45CF" w:rsidRPr="00E43D3D" w14:paraId="468BEA7F" w14:textId="77777777" w:rsidTr="007A7C3A">
                              <w:tc>
                                <w:tcPr>
                                  <w:tcW w:w="0" w:type="auto"/>
                                  <w:gridSpan w:val="2"/>
                                  <w:tcBorders>
                                    <w:top w:val="single" w:sz="4" w:space="0" w:color="000000"/>
                                    <w:left w:val="single" w:sz="4" w:space="0" w:color="000000"/>
                                    <w:bottom w:val="nil"/>
                                    <w:right w:val="single" w:sz="4" w:space="0" w:color="000000"/>
                                  </w:tcBorders>
                                  <w:shd w:val="clear" w:color="000000" w:fill="D9D9D9"/>
                                  <w:vAlign w:val="center"/>
                                  <w:hideMark/>
                                </w:tcPr>
                                <w:p w14:paraId="5B903CCA"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Reconciliation with aggregated data</w:t>
                                  </w:r>
                                </w:p>
                              </w:tc>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78F915"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T04.00 - Securities (Including CET1, AT1 &amp; Tier 2 Instruments; Excluding intragroup)</w:t>
                                  </w:r>
                                </w:p>
                              </w:tc>
                              <w:tc>
                                <w:tcPr>
                                  <w:tcW w:w="0" w:type="auto"/>
                                  <w:tcBorders>
                                    <w:top w:val="nil"/>
                                    <w:left w:val="nil"/>
                                    <w:bottom w:val="nil"/>
                                    <w:right w:val="nil"/>
                                  </w:tcBorders>
                                  <w:shd w:val="clear" w:color="auto" w:fill="auto"/>
                                  <w:noWrap/>
                                  <w:vAlign w:val="bottom"/>
                                  <w:hideMark/>
                                </w:tcPr>
                                <w:p w14:paraId="06F88375" w14:textId="77777777" w:rsidR="002D45CF" w:rsidRPr="006550F9" w:rsidRDefault="002D45CF" w:rsidP="007A7C3A">
                                  <w:pPr>
                                    <w:spacing w:line="240" w:lineRule="auto"/>
                                    <w:jc w:val="center"/>
                                    <w:rPr>
                                      <w:rFonts w:eastAsia="Times New Roman" w:cs="Times New Roman"/>
                                      <w:color w:val="000000"/>
                                      <w:sz w:val="14"/>
                                      <w:szCs w:val="16"/>
                                      <w:lang w:val="en-GB" w:eastAsia="en-GB"/>
                                    </w:rPr>
                                  </w:pPr>
                                </w:p>
                              </w:tc>
                              <w:tc>
                                <w:tcPr>
                                  <w:tcW w:w="0" w:type="auto"/>
                                  <w:tcBorders>
                                    <w:top w:val="nil"/>
                                    <w:left w:val="nil"/>
                                    <w:bottom w:val="nil"/>
                                    <w:right w:val="nil"/>
                                  </w:tcBorders>
                                  <w:shd w:val="clear" w:color="auto" w:fill="auto"/>
                                  <w:noWrap/>
                                  <w:vAlign w:val="bottom"/>
                                  <w:hideMark/>
                                </w:tcPr>
                                <w:p w14:paraId="06D7D767"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216F513A" w14:textId="77777777" w:rsidR="002D45CF" w:rsidRPr="006550F9" w:rsidRDefault="002D45CF" w:rsidP="007A7C3A">
                                  <w:pPr>
                                    <w:spacing w:line="240" w:lineRule="auto"/>
                                    <w:jc w:val="center"/>
                                    <w:rPr>
                                      <w:rFonts w:eastAsia="Times New Roman" w:cs="Times New Roman"/>
                                      <w:sz w:val="14"/>
                                      <w:szCs w:val="16"/>
                                      <w:lang w:val="en-GB" w:eastAsia="en-GB"/>
                                    </w:rPr>
                                  </w:pPr>
                                </w:p>
                              </w:tc>
                            </w:tr>
                            <w:tr w:rsidR="002D45CF" w:rsidRPr="00E43D3D" w14:paraId="5E98E522" w14:textId="77777777" w:rsidTr="007A7C3A">
                              <w:tc>
                                <w:tcPr>
                                  <w:tcW w:w="0" w:type="auto"/>
                                  <w:tcBorders>
                                    <w:top w:val="single" w:sz="4" w:space="0" w:color="000000"/>
                                    <w:left w:val="single" w:sz="4" w:space="0" w:color="000000"/>
                                    <w:bottom w:val="nil"/>
                                    <w:right w:val="single" w:sz="4" w:space="0" w:color="000000"/>
                                  </w:tcBorders>
                                  <w:shd w:val="clear" w:color="000000" w:fill="D9D9D9"/>
                                  <w:vAlign w:val="center"/>
                                  <w:hideMark/>
                                </w:tcPr>
                                <w:p w14:paraId="00AFEE78"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Line</w:t>
                                  </w:r>
                                </w:p>
                              </w:tc>
                              <w:tc>
                                <w:tcPr>
                                  <w:tcW w:w="0" w:type="auto"/>
                                  <w:tcBorders>
                                    <w:top w:val="single" w:sz="4" w:space="0" w:color="000000"/>
                                    <w:left w:val="nil"/>
                                    <w:bottom w:val="nil"/>
                                    <w:right w:val="single" w:sz="4" w:space="0" w:color="000000"/>
                                  </w:tcBorders>
                                  <w:shd w:val="clear" w:color="000000" w:fill="D9D9D9"/>
                                  <w:vAlign w:val="center"/>
                                  <w:hideMark/>
                                </w:tcPr>
                                <w:p w14:paraId="785C2D62"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Column</w:t>
                                  </w:r>
                                </w:p>
                              </w:tc>
                              <w:tc>
                                <w:tcPr>
                                  <w:tcW w:w="0" w:type="auto"/>
                                  <w:tcBorders>
                                    <w:top w:val="nil"/>
                                    <w:left w:val="nil"/>
                                    <w:bottom w:val="nil"/>
                                    <w:right w:val="single" w:sz="4" w:space="0" w:color="000000"/>
                                  </w:tcBorders>
                                  <w:shd w:val="clear" w:color="000000" w:fill="D9D9D9"/>
                                  <w:vAlign w:val="center"/>
                                  <w:hideMark/>
                                </w:tcPr>
                                <w:p w14:paraId="034606DC"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Type of Instrument</w:t>
                                  </w:r>
                                </w:p>
                              </w:tc>
                              <w:tc>
                                <w:tcPr>
                                  <w:tcW w:w="0" w:type="auto"/>
                                  <w:tcBorders>
                                    <w:top w:val="nil"/>
                                    <w:left w:val="nil"/>
                                    <w:bottom w:val="nil"/>
                                    <w:right w:val="single" w:sz="4" w:space="0" w:color="000000"/>
                                  </w:tcBorders>
                                  <w:shd w:val="clear" w:color="000000" w:fill="D9D9D9"/>
                                  <w:vAlign w:val="center"/>
                                  <w:hideMark/>
                                </w:tcPr>
                                <w:p w14:paraId="3081E77C"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Outstanding Principal Amount</w:t>
                                  </w:r>
                                </w:p>
                              </w:tc>
                              <w:tc>
                                <w:tcPr>
                                  <w:tcW w:w="0" w:type="auto"/>
                                  <w:tcBorders>
                                    <w:top w:val="nil"/>
                                    <w:left w:val="nil"/>
                                    <w:bottom w:val="nil"/>
                                    <w:right w:val="single" w:sz="4" w:space="0" w:color="000000"/>
                                  </w:tcBorders>
                                  <w:shd w:val="clear" w:color="000000" w:fill="D9D9D9"/>
                                  <w:vAlign w:val="center"/>
                                  <w:hideMark/>
                                </w:tcPr>
                                <w:p w14:paraId="029A576B"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Accrued Interest</w:t>
                                  </w:r>
                                </w:p>
                              </w:tc>
                              <w:tc>
                                <w:tcPr>
                                  <w:tcW w:w="0" w:type="auto"/>
                                  <w:tcBorders>
                                    <w:top w:val="nil"/>
                                    <w:left w:val="nil"/>
                                    <w:bottom w:val="nil"/>
                                    <w:right w:val="single" w:sz="4" w:space="0" w:color="000000"/>
                                  </w:tcBorders>
                                  <w:shd w:val="clear" w:color="000000" w:fill="D9D9D9"/>
                                  <w:vAlign w:val="center"/>
                                  <w:hideMark/>
                                </w:tcPr>
                                <w:p w14:paraId="76186668"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Earliest Redemption Date</w:t>
                                  </w:r>
                                </w:p>
                              </w:tc>
                              <w:tc>
                                <w:tcPr>
                                  <w:tcW w:w="0" w:type="auto"/>
                                  <w:tcBorders>
                                    <w:top w:val="nil"/>
                                    <w:left w:val="nil"/>
                                    <w:bottom w:val="nil"/>
                                    <w:right w:val="single" w:sz="4" w:space="0" w:color="000000"/>
                                  </w:tcBorders>
                                  <w:shd w:val="clear" w:color="000000" w:fill="D9D9D9"/>
                                  <w:vAlign w:val="center"/>
                                  <w:hideMark/>
                                </w:tcPr>
                                <w:p w14:paraId="211D8904"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Legal Maturity</w:t>
                                  </w:r>
                                </w:p>
                              </w:tc>
                              <w:tc>
                                <w:tcPr>
                                  <w:tcW w:w="0" w:type="auto"/>
                                  <w:tcBorders>
                                    <w:top w:val="nil"/>
                                    <w:left w:val="nil"/>
                                    <w:bottom w:val="nil"/>
                                    <w:right w:val="single" w:sz="4" w:space="0" w:color="000000"/>
                                  </w:tcBorders>
                                  <w:shd w:val="clear" w:color="000000" w:fill="D9D9D9"/>
                                  <w:vAlign w:val="center"/>
                                  <w:hideMark/>
                                </w:tcPr>
                                <w:p w14:paraId="051E11C8"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Amount of pledge, lien or collateral</w:t>
                                  </w:r>
                                </w:p>
                              </w:tc>
                              <w:tc>
                                <w:tcPr>
                                  <w:tcW w:w="0" w:type="auto"/>
                                  <w:tcBorders>
                                    <w:top w:val="nil"/>
                                    <w:left w:val="nil"/>
                                    <w:bottom w:val="nil"/>
                                    <w:right w:val="nil"/>
                                  </w:tcBorders>
                                  <w:shd w:val="clear" w:color="auto" w:fill="auto"/>
                                  <w:noWrap/>
                                  <w:vAlign w:val="center"/>
                                  <w:hideMark/>
                                </w:tcPr>
                                <w:p w14:paraId="6D9CE964" w14:textId="77777777" w:rsidR="002D45CF" w:rsidRPr="006550F9" w:rsidRDefault="002D45CF" w:rsidP="007A7C3A">
                                  <w:pPr>
                                    <w:spacing w:line="240" w:lineRule="auto"/>
                                    <w:jc w:val="center"/>
                                    <w:rPr>
                                      <w:rFonts w:eastAsia="Times New Roman" w:cs="Times New Roman"/>
                                      <w:color w:val="000000"/>
                                      <w:sz w:val="14"/>
                                      <w:szCs w:val="16"/>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282F6"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(A+B)-C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56E4EB"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Uncollateralised portion of outstanding debt (including interest)</w:t>
                                  </w:r>
                                </w:p>
                              </w:tc>
                            </w:tr>
                            <w:tr w:rsidR="002D45CF" w:rsidRPr="00D43310" w14:paraId="6BB074C9" w14:textId="77777777" w:rsidTr="007A7C3A">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9B3A6C" w14:textId="77777777" w:rsidR="002D45CF" w:rsidRPr="006550F9" w:rsidRDefault="002D45CF" w:rsidP="007A7C3A">
                                  <w:pPr>
                                    <w:spacing w:line="240" w:lineRule="auto"/>
                                    <w:jc w:val="center"/>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List of values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201CF862" w14:textId="77777777" w:rsidR="002D45CF" w:rsidRPr="006550F9" w:rsidRDefault="002D45CF" w:rsidP="007A7C3A">
                                  <w:pPr>
                                    <w:spacing w:line="240" w:lineRule="auto"/>
                                    <w:jc w:val="center"/>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List of values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12719575" w14:textId="77777777" w:rsidR="002D45CF" w:rsidRPr="006550F9" w:rsidRDefault="002D45CF" w:rsidP="007A7C3A">
                                  <w:pPr>
                                    <w:spacing w:line="240" w:lineRule="auto"/>
                                    <w:jc w:val="center"/>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List of values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2A7F526B" w14:textId="77777777" w:rsidR="002D45CF" w:rsidRPr="006550F9" w:rsidRDefault="002D45CF" w:rsidP="007A7C3A">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71898D16" w14:textId="77777777" w:rsidR="002D45CF" w:rsidRPr="006550F9" w:rsidRDefault="002D45CF" w:rsidP="007A7C3A">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44F68A5D" w14:textId="77777777" w:rsidR="002D45CF" w:rsidRPr="006550F9" w:rsidRDefault="002D45CF" w:rsidP="007A7C3A">
                                  <w:pPr>
                                    <w:spacing w:line="240" w:lineRule="auto"/>
                                    <w:jc w:val="left"/>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YYYY-MM-DD</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4126F7EA" w14:textId="77777777" w:rsidR="002D45CF" w:rsidRPr="006550F9" w:rsidRDefault="002D45CF" w:rsidP="007A7C3A">
                                  <w:pPr>
                                    <w:spacing w:line="240" w:lineRule="auto"/>
                                    <w:jc w:val="left"/>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YYYY-MM-DD</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0F019597" w14:textId="77777777" w:rsidR="002D45CF" w:rsidRPr="006550F9" w:rsidRDefault="002D45CF" w:rsidP="007A7C3A">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0.00</w:t>
                                  </w:r>
                                </w:p>
                              </w:tc>
                              <w:tc>
                                <w:tcPr>
                                  <w:tcW w:w="0" w:type="auto"/>
                                  <w:tcBorders>
                                    <w:top w:val="nil"/>
                                    <w:left w:val="nil"/>
                                    <w:bottom w:val="nil"/>
                                    <w:right w:val="nil"/>
                                  </w:tcBorders>
                                  <w:shd w:val="clear" w:color="auto" w:fill="auto"/>
                                  <w:noWrap/>
                                  <w:vAlign w:val="bottom"/>
                                  <w:hideMark/>
                                </w:tcPr>
                                <w:p w14:paraId="4AD48391" w14:textId="77777777" w:rsidR="002D45CF" w:rsidRPr="006550F9" w:rsidRDefault="002D45CF" w:rsidP="007A7C3A">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836FA"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7CF204D6"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 </w:t>
                                  </w:r>
                                </w:p>
                              </w:tc>
                            </w:tr>
                            <w:tr w:rsidR="002D45CF" w:rsidRPr="00D43310" w14:paraId="500AD44C" w14:textId="77777777" w:rsidTr="007A7C3A">
                              <w:tc>
                                <w:tcPr>
                                  <w:tcW w:w="0" w:type="auto"/>
                                  <w:tcBorders>
                                    <w:top w:val="nil"/>
                                    <w:left w:val="single" w:sz="4" w:space="0" w:color="auto"/>
                                    <w:bottom w:val="single" w:sz="4" w:space="0" w:color="auto"/>
                                    <w:right w:val="single" w:sz="4" w:space="0" w:color="auto"/>
                                  </w:tcBorders>
                                  <w:shd w:val="clear" w:color="000000" w:fill="D9D9D9"/>
                                  <w:vAlign w:val="center"/>
                                  <w:hideMark/>
                                </w:tcPr>
                                <w:p w14:paraId="6B7D2459" w14:textId="28AEE6A3"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20</w:t>
                                  </w:r>
                                </w:p>
                              </w:tc>
                              <w:tc>
                                <w:tcPr>
                                  <w:tcW w:w="0" w:type="auto"/>
                                  <w:tcBorders>
                                    <w:top w:val="nil"/>
                                    <w:left w:val="nil"/>
                                    <w:bottom w:val="single" w:sz="4" w:space="0" w:color="auto"/>
                                    <w:right w:val="single" w:sz="4" w:space="0" w:color="auto"/>
                                  </w:tcBorders>
                                  <w:shd w:val="clear" w:color="000000" w:fill="D9D9D9"/>
                                  <w:vAlign w:val="center"/>
                                  <w:hideMark/>
                                </w:tcPr>
                                <w:p w14:paraId="3AE868BD" w14:textId="58D2CEAF"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30</w:t>
                                  </w:r>
                                </w:p>
                              </w:tc>
                              <w:tc>
                                <w:tcPr>
                                  <w:tcW w:w="0" w:type="auto"/>
                                  <w:tcBorders>
                                    <w:top w:val="nil"/>
                                    <w:left w:val="nil"/>
                                    <w:bottom w:val="single" w:sz="4" w:space="0" w:color="auto"/>
                                    <w:right w:val="single" w:sz="4" w:space="0" w:color="auto"/>
                                  </w:tcBorders>
                                  <w:shd w:val="clear" w:color="000000" w:fill="D9D9D9"/>
                                  <w:noWrap/>
                                  <w:vAlign w:val="center"/>
                                  <w:hideMark/>
                                </w:tcPr>
                                <w:p w14:paraId="0106DEA0" w14:textId="2A4FF6C1"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60</w:t>
                                  </w:r>
                                </w:p>
                              </w:tc>
                              <w:tc>
                                <w:tcPr>
                                  <w:tcW w:w="0" w:type="auto"/>
                                  <w:tcBorders>
                                    <w:top w:val="nil"/>
                                    <w:left w:val="nil"/>
                                    <w:bottom w:val="single" w:sz="4" w:space="0" w:color="auto"/>
                                    <w:right w:val="single" w:sz="4" w:space="0" w:color="auto"/>
                                  </w:tcBorders>
                                  <w:shd w:val="clear" w:color="000000" w:fill="D9D9D9"/>
                                  <w:noWrap/>
                                  <w:vAlign w:val="center"/>
                                  <w:hideMark/>
                                </w:tcPr>
                                <w:p w14:paraId="7F9749EE" w14:textId="58BA0229"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10</w:t>
                                  </w:r>
                                </w:p>
                              </w:tc>
                              <w:tc>
                                <w:tcPr>
                                  <w:tcW w:w="0" w:type="auto"/>
                                  <w:tcBorders>
                                    <w:top w:val="nil"/>
                                    <w:left w:val="nil"/>
                                    <w:bottom w:val="single" w:sz="4" w:space="0" w:color="auto"/>
                                    <w:right w:val="single" w:sz="4" w:space="0" w:color="auto"/>
                                  </w:tcBorders>
                                  <w:shd w:val="clear" w:color="000000" w:fill="D9D9D9"/>
                                  <w:noWrap/>
                                  <w:vAlign w:val="center"/>
                                  <w:hideMark/>
                                </w:tcPr>
                                <w:p w14:paraId="69FC3D4D" w14:textId="72F1B3A3"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20</w:t>
                                  </w:r>
                                </w:p>
                              </w:tc>
                              <w:tc>
                                <w:tcPr>
                                  <w:tcW w:w="0" w:type="auto"/>
                                  <w:tcBorders>
                                    <w:top w:val="nil"/>
                                    <w:left w:val="nil"/>
                                    <w:bottom w:val="single" w:sz="4" w:space="0" w:color="auto"/>
                                    <w:right w:val="single" w:sz="4" w:space="0" w:color="auto"/>
                                  </w:tcBorders>
                                  <w:shd w:val="clear" w:color="000000" w:fill="D9D9D9"/>
                                  <w:noWrap/>
                                  <w:vAlign w:val="center"/>
                                  <w:hideMark/>
                                </w:tcPr>
                                <w:p w14:paraId="0CC89282" w14:textId="3D855EC3"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60</w:t>
                                  </w:r>
                                </w:p>
                              </w:tc>
                              <w:tc>
                                <w:tcPr>
                                  <w:tcW w:w="0" w:type="auto"/>
                                  <w:tcBorders>
                                    <w:top w:val="nil"/>
                                    <w:left w:val="nil"/>
                                    <w:bottom w:val="single" w:sz="4" w:space="0" w:color="auto"/>
                                    <w:right w:val="single" w:sz="4" w:space="0" w:color="auto"/>
                                  </w:tcBorders>
                                  <w:shd w:val="clear" w:color="000000" w:fill="D9D9D9"/>
                                  <w:noWrap/>
                                  <w:vAlign w:val="center"/>
                                  <w:hideMark/>
                                </w:tcPr>
                                <w:p w14:paraId="05A94F69" w14:textId="40914411"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70</w:t>
                                  </w:r>
                                </w:p>
                              </w:tc>
                              <w:tc>
                                <w:tcPr>
                                  <w:tcW w:w="0" w:type="auto"/>
                                  <w:tcBorders>
                                    <w:top w:val="nil"/>
                                    <w:left w:val="nil"/>
                                    <w:bottom w:val="single" w:sz="4" w:space="0" w:color="auto"/>
                                    <w:right w:val="single" w:sz="4" w:space="0" w:color="auto"/>
                                  </w:tcBorders>
                                  <w:shd w:val="clear" w:color="000000" w:fill="D9D9D9"/>
                                  <w:noWrap/>
                                  <w:vAlign w:val="center"/>
                                  <w:hideMark/>
                                </w:tcPr>
                                <w:p w14:paraId="4B581BE0" w14:textId="1FED293A"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w:t>
                                  </w:r>
                                  <w:r w:rsidRPr="006550F9">
                                    <w:rPr>
                                      <w:rFonts w:eastAsia="Times New Roman" w:cs="Times New Roman"/>
                                      <w:color w:val="000000"/>
                                      <w:sz w:val="14"/>
                                      <w:szCs w:val="16"/>
                                      <w:lang w:val="en-GB" w:eastAsia="en-GB"/>
                                    </w:rPr>
                                    <w:t>270</w:t>
                                  </w:r>
                                </w:p>
                              </w:tc>
                              <w:tc>
                                <w:tcPr>
                                  <w:tcW w:w="0" w:type="auto"/>
                                  <w:tcBorders>
                                    <w:top w:val="nil"/>
                                    <w:left w:val="nil"/>
                                    <w:bottom w:val="nil"/>
                                    <w:right w:val="nil"/>
                                  </w:tcBorders>
                                  <w:shd w:val="clear" w:color="auto" w:fill="auto"/>
                                  <w:noWrap/>
                                  <w:vAlign w:val="bottom"/>
                                  <w:hideMark/>
                                </w:tcPr>
                                <w:p w14:paraId="0E324B14" w14:textId="77777777" w:rsidR="002D45CF" w:rsidRPr="006550F9" w:rsidRDefault="002D45CF" w:rsidP="007A7C3A">
                                  <w:pPr>
                                    <w:spacing w:line="240" w:lineRule="auto"/>
                                    <w:jc w:val="center"/>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6E48E"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7E2AEE74"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 </w:t>
                                  </w:r>
                                </w:p>
                              </w:tc>
                            </w:tr>
                            <w:tr w:rsidR="002D45CF" w:rsidRPr="007A7C3A" w14:paraId="63385EB0" w14:textId="77777777" w:rsidTr="00184A1B">
                              <w:tc>
                                <w:tcPr>
                                  <w:tcW w:w="0" w:type="auto"/>
                                  <w:tcBorders>
                                    <w:top w:val="nil"/>
                                    <w:left w:val="single" w:sz="8" w:space="0" w:color="auto"/>
                                    <w:bottom w:val="nil"/>
                                    <w:right w:val="single" w:sz="4" w:space="0" w:color="000000"/>
                                  </w:tcBorders>
                                  <w:shd w:val="clear" w:color="auto" w:fill="auto"/>
                                  <w:noWrap/>
                                  <w:vAlign w:val="bottom"/>
                                  <w:hideMark/>
                                </w:tcPr>
                                <w:p w14:paraId="4A7F40B3" w14:textId="685362DF"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nil"/>
                                    <w:left w:val="nil"/>
                                    <w:bottom w:val="nil"/>
                                    <w:right w:val="nil"/>
                                  </w:tcBorders>
                                  <w:shd w:val="clear" w:color="auto" w:fill="auto"/>
                                  <w:noWrap/>
                                  <w:vAlign w:val="bottom"/>
                                  <w:hideMark/>
                                </w:tcPr>
                                <w:p w14:paraId="0EE1EBBF" w14:textId="6204E5D1"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1x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1DB443"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6A9938D1"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500 000 000</w:t>
                                  </w:r>
                                </w:p>
                              </w:tc>
                              <w:tc>
                                <w:tcPr>
                                  <w:tcW w:w="0" w:type="auto"/>
                                  <w:tcBorders>
                                    <w:top w:val="nil"/>
                                    <w:left w:val="nil"/>
                                    <w:bottom w:val="single" w:sz="4" w:space="0" w:color="auto"/>
                                    <w:right w:val="single" w:sz="4" w:space="0" w:color="auto"/>
                                  </w:tcBorders>
                                  <w:shd w:val="clear" w:color="auto" w:fill="auto"/>
                                  <w:noWrap/>
                                  <w:vAlign w:val="bottom"/>
                                  <w:hideMark/>
                                </w:tcPr>
                                <w:p w14:paraId="132598E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1 000 000</w:t>
                                  </w:r>
                                </w:p>
                              </w:tc>
                              <w:tc>
                                <w:tcPr>
                                  <w:tcW w:w="0" w:type="auto"/>
                                  <w:tcBorders>
                                    <w:top w:val="nil"/>
                                    <w:left w:val="nil"/>
                                    <w:bottom w:val="single" w:sz="4" w:space="0" w:color="auto"/>
                                    <w:right w:val="single" w:sz="4" w:space="0" w:color="auto"/>
                                  </w:tcBorders>
                                  <w:shd w:val="clear" w:color="auto" w:fill="auto"/>
                                  <w:noWrap/>
                                  <w:vAlign w:val="bottom"/>
                                  <w:hideMark/>
                                </w:tcPr>
                                <w:p w14:paraId="2467636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30/06/2017</w:t>
                                  </w:r>
                                </w:p>
                              </w:tc>
                              <w:tc>
                                <w:tcPr>
                                  <w:tcW w:w="0" w:type="auto"/>
                                  <w:tcBorders>
                                    <w:top w:val="nil"/>
                                    <w:left w:val="nil"/>
                                    <w:bottom w:val="single" w:sz="4" w:space="0" w:color="auto"/>
                                    <w:right w:val="single" w:sz="4" w:space="0" w:color="auto"/>
                                  </w:tcBorders>
                                  <w:shd w:val="clear" w:color="auto" w:fill="auto"/>
                                  <w:noWrap/>
                                  <w:vAlign w:val="bottom"/>
                                  <w:hideMark/>
                                </w:tcPr>
                                <w:p w14:paraId="2D5D5AEF"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30/06/2025</w:t>
                                  </w:r>
                                </w:p>
                              </w:tc>
                              <w:tc>
                                <w:tcPr>
                                  <w:tcW w:w="0" w:type="auto"/>
                                  <w:tcBorders>
                                    <w:top w:val="nil"/>
                                    <w:left w:val="nil"/>
                                    <w:bottom w:val="single" w:sz="4" w:space="0" w:color="auto"/>
                                    <w:right w:val="single" w:sz="4" w:space="0" w:color="auto"/>
                                  </w:tcBorders>
                                  <w:shd w:val="clear" w:color="auto" w:fill="auto"/>
                                  <w:noWrap/>
                                  <w:vAlign w:val="bottom"/>
                                  <w:hideMark/>
                                </w:tcPr>
                                <w:p w14:paraId="7176479B"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400 000 000</w:t>
                                  </w:r>
                                </w:p>
                              </w:tc>
                              <w:tc>
                                <w:tcPr>
                                  <w:tcW w:w="0" w:type="auto"/>
                                  <w:tcBorders>
                                    <w:top w:val="nil"/>
                                    <w:left w:val="nil"/>
                                    <w:bottom w:val="nil"/>
                                    <w:right w:val="nil"/>
                                  </w:tcBorders>
                                  <w:shd w:val="clear" w:color="auto" w:fill="auto"/>
                                  <w:noWrap/>
                                  <w:vAlign w:val="bottom"/>
                                  <w:hideMark/>
                                </w:tcPr>
                                <w:p w14:paraId="61A5FBC5"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8952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101 000 000</w:t>
                                  </w:r>
                                </w:p>
                              </w:tc>
                              <w:tc>
                                <w:tcPr>
                                  <w:tcW w:w="0" w:type="auto"/>
                                  <w:tcBorders>
                                    <w:top w:val="nil"/>
                                    <w:left w:val="nil"/>
                                    <w:bottom w:val="single" w:sz="4" w:space="0" w:color="auto"/>
                                    <w:right w:val="single" w:sz="4" w:space="0" w:color="auto"/>
                                  </w:tcBorders>
                                  <w:shd w:val="clear" w:color="auto" w:fill="auto"/>
                                  <w:noWrap/>
                                  <w:hideMark/>
                                </w:tcPr>
                                <w:p w14:paraId="3F3EB1D0"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101 000 000</w:t>
                                  </w:r>
                                </w:p>
                              </w:tc>
                            </w:tr>
                            <w:tr w:rsidR="002D45CF" w:rsidRPr="007A7C3A" w14:paraId="4EE174B5" w14:textId="77777777" w:rsidTr="00184A1B">
                              <w:tc>
                                <w:tcPr>
                                  <w:tcW w:w="0" w:type="auto"/>
                                  <w:tcBorders>
                                    <w:top w:val="single" w:sz="4" w:space="0" w:color="000000"/>
                                    <w:left w:val="single" w:sz="8" w:space="0" w:color="auto"/>
                                    <w:bottom w:val="nil"/>
                                    <w:right w:val="single" w:sz="4" w:space="0" w:color="000000"/>
                                  </w:tcBorders>
                                  <w:shd w:val="clear" w:color="auto" w:fill="auto"/>
                                  <w:noWrap/>
                                  <w:vAlign w:val="bottom"/>
                                  <w:hideMark/>
                                </w:tcPr>
                                <w:p w14:paraId="049575E2" w14:textId="70F176D6"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single" w:sz="4" w:space="0" w:color="000000"/>
                                    <w:left w:val="nil"/>
                                    <w:bottom w:val="nil"/>
                                    <w:right w:val="nil"/>
                                  </w:tcBorders>
                                  <w:shd w:val="clear" w:color="auto" w:fill="auto"/>
                                  <w:noWrap/>
                                  <w:vAlign w:val="bottom"/>
                                  <w:hideMark/>
                                </w:tcPr>
                                <w:p w14:paraId="74D820D0" w14:textId="7A68EFDE"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3x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FB0DE"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31E0FE4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100 000 000</w:t>
                                  </w:r>
                                </w:p>
                              </w:tc>
                              <w:tc>
                                <w:tcPr>
                                  <w:tcW w:w="0" w:type="auto"/>
                                  <w:tcBorders>
                                    <w:top w:val="nil"/>
                                    <w:left w:val="nil"/>
                                    <w:bottom w:val="single" w:sz="4" w:space="0" w:color="auto"/>
                                    <w:right w:val="single" w:sz="4" w:space="0" w:color="auto"/>
                                  </w:tcBorders>
                                  <w:shd w:val="clear" w:color="auto" w:fill="auto"/>
                                  <w:noWrap/>
                                  <w:vAlign w:val="bottom"/>
                                  <w:hideMark/>
                                </w:tcPr>
                                <w:p w14:paraId="1F88BF05"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14:paraId="5C14DDA2"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30/06/2020</w:t>
                                  </w:r>
                                </w:p>
                              </w:tc>
                              <w:tc>
                                <w:tcPr>
                                  <w:tcW w:w="0" w:type="auto"/>
                                  <w:tcBorders>
                                    <w:top w:val="nil"/>
                                    <w:left w:val="nil"/>
                                    <w:bottom w:val="single" w:sz="4" w:space="0" w:color="auto"/>
                                    <w:right w:val="single" w:sz="4" w:space="0" w:color="auto"/>
                                  </w:tcBorders>
                                  <w:shd w:val="clear" w:color="auto" w:fill="auto"/>
                                  <w:noWrap/>
                                  <w:vAlign w:val="bottom"/>
                                  <w:hideMark/>
                                </w:tcPr>
                                <w:p w14:paraId="2787803F"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30/06/2020</w:t>
                                  </w:r>
                                </w:p>
                              </w:tc>
                              <w:tc>
                                <w:tcPr>
                                  <w:tcW w:w="0" w:type="auto"/>
                                  <w:tcBorders>
                                    <w:top w:val="nil"/>
                                    <w:left w:val="nil"/>
                                    <w:bottom w:val="single" w:sz="4" w:space="0" w:color="auto"/>
                                    <w:right w:val="single" w:sz="4" w:space="0" w:color="auto"/>
                                  </w:tcBorders>
                                  <w:shd w:val="clear" w:color="auto" w:fill="auto"/>
                                  <w:noWrap/>
                                  <w:vAlign w:val="bottom"/>
                                  <w:hideMark/>
                                </w:tcPr>
                                <w:p w14:paraId="144FB60C"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120 000 000</w:t>
                                  </w:r>
                                </w:p>
                              </w:tc>
                              <w:tc>
                                <w:tcPr>
                                  <w:tcW w:w="0" w:type="auto"/>
                                  <w:tcBorders>
                                    <w:top w:val="nil"/>
                                    <w:left w:val="nil"/>
                                    <w:bottom w:val="nil"/>
                                    <w:right w:val="nil"/>
                                  </w:tcBorders>
                                  <w:shd w:val="clear" w:color="auto" w:fill="auto"/>
                                  <w:noWrap/>
                                  <w:vAlign w:val="bottom"/>
                                  <w:hideMark/>
                                </w:tcPr>
                                <w:p w14:paraId="5107B6EF"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1E117"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-20 000 000</w:t>
                                  </w:r>
                                </w:p>
                              </w:tc>
                              <w:tc>
                                <w:tcPr>
                                  <w:tcW w:w="0" w:type="auto"/>
                                  <w:tcBorders>
                                    <w:top w:val="nil"/>
                                    <w:left w:val="nil"/>
                                    <w:bottom w:val="single" w:sz="4" w:space="0" w:color="auto"/>
                                    <w:right w:val="single" w:sz="4" w:space="0" w:color="auto"/>
                                  </w:tcBorders>
                                  <w:shd w:val="clear" w:color="auto" w:fill="auto"/>
                                  <w:noWrap/>
                                  <w:hideMark/>
                                </w:tcPr>
                                <w:p w14:paraId="53250945"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0</w:t>
                                  </w:r>
                                </w:p>
                              </w:tc>
                            </w:tr>
                            <w:tr w:rsidR="002D45CF" w:rsidRPr="007A7C3A" w14:paraId="13065C3F" w14:textId="77777777" w:rsidTr="00184A1B">
                              <w:tc>
                                <w:tcPr>
                                  <w:tcW w:w="0" w:type="auto"/>
                                  <w:tcBorders>
                                    <w:top w:val="single" w:sz="4" w:space="0" w:color="000000"/>
                                    <w:left w:val="single" w:sz="8" w:space="0" w:color="auto"/>
                                    <w:bottom w:val="nil"/>
                                    <w:right w:val="single" w:sz="4" w:space="0" w:color="000000"/>
                                  </w:tcBorders>
                                  <w:shd w:val="clear" w:color="auto" w:fill="auto"/>
                                  <w:noWrap/>
                                  <w:vAlign w:val="bottom"/>
                                  <w:hideMark/>
                                </w:tcPr>
                                <w:p w14:paraId="3A471906" w14:textId="26C708DE"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single" w:sz="4" w:space="0" w:color="000000"/>
                                    <w:left w:val="nil"/>
                                    <w:bottom w:val="nil"/>
                                    <w:right w:val="nil"/>
                                  </w:tcBorders>
                                  <w:shd w:val="clear" w:color="auto" w:fill="auto"/>
                                  <w:noWrap/>
                                  <w:vAlign w:val="bottom"/>
                                  <w:hideMark/>
                                </w:tcPr>
                                <w:p w14:paraId="5497C9C7" w14:textId="3CABF1CF"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0x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4C5E3"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43C87333"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750 000 000</w:t>
                                  </w:r>
                                </w:p>
                              </w:tc>
                              <w:tc>
                                <w:tcPr>
                                  <w:tcW w:w="0" w:type="auto"/>
                                  <w:tcBorders>
                                    <w:top w:val="nil"/>
                                    <w:left w:val="nil"/>
                                    <w:bottom w:val="single" w:sz="4" w:space="0" w:color="auto"/>
                                    <w:right w:val="single" w:sz="4" w:space="0" w:color="auto"/>
                                  </w:tcBorders>
                                  <w:shd w:val="clear" w:color="auto" w:fill="auto"/>
                                  <w:noWrap/>
                                  <w:vAlign w:val="bottom"/>
                                  <w:hideMark/>
                                </w:tcPr>
                                <w:p w14:paraId="7BF84E4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1 500 000</w:t>
                                  </w:r>
                                </w:p>
                              </w:tc>
                              <w:tc>
                                <w:tcPr>
                                  <w:tcW w:w="0" w:type="auto"/>
                                  <w:tcBorders>
                                    <w:top w:val="nil"/>
                                    <w:left w:val="nil"/>
                                    <w:bottom w:val="single" w:sz="4" w:space="0" w:color="auto"/>
                                    <w:right w:val="single" w:sz="4" w:space="0" w:color="auto"/>
                                  </w:tcBorders>
                                  <w:shd w:val="clear" w:color="auto" w:fill="auto"/>
                                  <w:noWrap/>
                                  <w:vAlign w:val="bottom"/>
                                  <w:hideMark/>
                                </w:tcPr>
                                <w:p w14:paraId="7FE0096D"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18/12/2025</w:t>
                                  </w:r>
                                </w:p>
                              </w:tc>
                              <w:tc>
                                <w:tcPr>
                                  <w:tcW w:w="0" w:type="auto"/>
                                  <w:tcBorders>
                                    <w:top w:val="nil"/>
                                    <w:left w:val="nil"/>
                                    <w:bottom w:val="single" w:sz="4" w:space="0" w:color="auto"/>
                                    <w:right w:val="single" w:sz="4" w:space="0" w:color="auto"/>
                                  </w:tcBorders>
                                  <w:shd w:val="clear" w:color="auto" w:fill="auto"/>
                                  <w:noWrap/>
                                  <w:vAlign w:val="bottom"/>
                                  <w:hideMark/>
                                </w:tcPr>
                                <w:p w14:paraId="50D6A2B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18/12/2025</w:t>
                                  </w:r>
                                </w:p>
                              </w:tc>
                              <w:tc>
                                <w:tcPr>
                                  <w:tcW w:w="0" w:type="auto"/>
                                  <w:tcBorders>
                                    <w:top w:val="nil"/>
                                    <w:left w:val="nil"/>
                                    <w:bottom w:val="single" w:sz="4" w:space="0" w:color="auto"/>
                                    <w:right w:val="single" w:sz="4" w:space="0" w:color="auto"/>
                                  </w:tcBorders>
                                  <w:shd w:val="clear" w:color="auto" w:fill="auto"/>
                                  <w:noWrap/>
                                  <w:vAlign w:val="bottom"/>
                                  <w:hideMark/>
                                </w:tcPr>
                                <w:p w14:paraId="552E2E83"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700 000 000</w:t>
                                  </w:r>
                                </w:p>
                              </w:tc>
                              <w:tc>
                                <w:tcPr>
                                  <w:tcW w:w="0" w:type="auto"/>
                                  <w:tcBorders>
                                    <w:top w:val="nil"/>
                                    <w:left w:val="nil"/>
                                    <w:bottom w:val="nil"/>
                                    <w:right w:val="nil"/>
                                  </w:tcBorders>
                                  <w:shd w:val="clear" w:color="auto" w:fill="auto"/>
                                  <w:noWrap/>
                                  <w:vAlign w:val="bottom"/>
                                  <w:hideMark/>
                                </w:tcPr>
                                <w:p w14:paraId="67BB291C"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2508F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51 500 000</w:t>
                                  </w:r>
                                </w:p>
                              </w:tc>
                              <w:tc>
                                <w:tcPr>
                                  <w:tcW w:w="0" w:type="auto"/>
                                  <w:tcBorders>
                                    <w:top w:val="nil"/>
                                    <w:left w:val="nil"/>
                                    <w:bottom w:val="single" w:sz="4" w:space="0" w:color="auto"/>
                                    <w:right w:val="single" w:sz="4" w:space="0" w:color="auto"/>
                                  </w:tcBorders>
                                  <w:shd w:val="clear" w:color="auto" w:fill="auto"/>
                                  <w:noWrap/>
                                  <w:hideMark/>
                                </w:tcPr>
                                <w:p w14:paraId="31D6A861"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51 500 000</w:t>
                                  </w:r>
                                </w:p>
                              </w:tc>
                            </w:tr>
                            <w:tr w:rsidR="002D45CF" w:rsidRPr="007A7C3A" w14:paraId="13A69DA3" w14:textId="77777777" w:rsidTr="00184A1B">
                              <w:tc>
                                <w:tcPr>
                                  <w:tcW w:w="0" w:type="auto"/>
                                  <w:tcBorders>
                                    <w:top w:val="single" w:sz="4" w:space="0" w:color="000000"/>
                                    <w:left w:val="single" w:sz="8" w:space="0" w:color="auto"/>
                                    <w:bottom w:val="nil"/>
                                    <w:right w:val="single" w:sz="4" w:space="0" w:color="000000"/>
                                  </w:tcBorders>
                                  <w:shd w:val="clear" w:color="auto" w:fill="auto"/>
                                  <w:noWrap/>
                                  <w:vAlign w:val="bottom"/>
                                  <w:hideMark/>
                                </w:tcPr>
                                <w:p w14:paraId="760D898A" w14:textId="2B685EC7"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single" w:sz="4" w:space="0" w:color="000000"/>
                                    <w:left w:val="nil"/>
                                    <w:bottom w:val="nil"/>
                                    <w:right w:val="nil"/>
                                  </w:tcBorders>
                                  <w:shd w:val="clear" w:color="auto" w:fill="auto"/>
                                  <w:noWrap/>
                                  <w:vAlign w:val="bottom"/>
                                  <w:hideMark/>
                                </w:tcPr>
                                <w:p w14:paraId="00627D3B" w14:textId="5E08C432"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0x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AEAEB"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69C312D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300 000 000</w:t>
                                  </w:r>
                                </w:p>
                              </w:tc>
                              <w:tc>
                                <w:tcPr>
                                  <w:tcW w:w="0" w:type="auto"/>
                                  <w:tcBorders>
                                    <w:top w:val="nil"/>
                                    <w:left w:val="nil"/>
                                    <w:bottom w:val="single" w:sz="4" w:space="0" w:color="auto"/>
                                    <w:right w:val="single" w:sz="4" w:space="0" w:color="auto"/>
                                  </w:tcBorders>
                                  <w:shd w:val="clear" w:color="auto" w:fill="auto"/>
                                  <w:noWrap/>
                                  <w:vAlign w:val="bottom"/>
                                  <w:hideMark/>
                                </w:tcPr>
                                <w:p w14:paraId="7BB67F52"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1 000 000</w:t>
                                  </w:r>
                                </w:p>
                              </w:tc>
                              <w:tc>
                                <w:tcPr>
                                  <w:tcW w:w="0" w:type="auto"/>
                                  <w:tcBorders>
                                    <w:top w:val="nil"/>
                                    <w:left w:val="nil"/>
                                    <w:bottom w:val="single" w:sz="4" w:space="0" w:color="auto"/>
                                    <w:right w:val="single" w:sz="4" w:space="0" w:color="auto"/>
                                  </w:tcBorders>
                                  <w:shd w:val="clear" w:color="auto" w:fill="auto"/>
                                  <w:noWrap/>
                                  <w:vAlign w:val="bottom"/>
                                  <w:hideMark/>
                                </w:tcPr>
                                <w:p w14:paraId="233F55F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30/09/2017</w:t>
                                  </w:r>
                                </w:p>
                              </w:tc>
                              <w:tc>
                                <w:tcPr>
                                  <w:tcW w:w="0" w:type="auto"/>
                                  <w:tcBorders>
                                    <w:top w:val="nil"/>
                                    <w:left w:val="nil"/>
                                    <w:bottom w:val="single" w:sz="4" w:space="0" w:color="auto"/>
                                    <w:right w:val="single" w:sz="4" w:space="0" w:color="auto"/>
                                  </w:tcBorders>
                                  <w:shd w:val="clear" w:color="auto" w:fill="auto"/>
                                  <w:noWrap/>
                                  <w:vAlign w:val="bottom"/>
                                  <w:hideMark/>
                                </w:tcPr>
                                <w:p w14:paraId="4FD2A5A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30/09/2017</w:t>
                                  </w:r>
                                </w:p>
                              </w:tc>
                              <w:tc>
                                <w:tcPr>
                                  <w:tcW w:w="0" w:type="auto"/>
                                  <w:tcBorders>
                                    <w:top w:val="nil"/>
                                    <w:left w:val="nil"/>
                                    <w:bottom w:val="single" w:sz="4" w:space="0" w:color="auto"/>
                                    <w:right w:val="single" w:sz="4" w:space="0" w:color="auto"/>
                                  </w:tcBorders>
                                  <w:shd w:val="clear" w:color="auto" w:fill="auto"/>
                                  <w:noWrap/>
                                  <w:vAlign w:val="bottom"/>
                                  <w:hideMark/>
                                </w:tcPr>
                                <w:p w14:paraId="5F29A9D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350 000 000</w:t>
                                  </w:r>
                                </w:p>
                              </w:tc>
                              <w:tc>
                                <w:tcPr>
                                  <w:tcW w:w="0" w:type="auto"/>
                                  <w:tcBorders>
                                    <w:top w:val="nil"/>
                                    <w:left w:val="nil"/>
                                    <w:bottom w:val="nil"/>
                                    <w:right w:val="nil"/>
                                  </w:tcBorders>
                                  <w:shd w:val="clear" w:color="auto" w:fill="auto"/>
                                  <w:noWrap/>
                                  <w:vAlign w:val="bottom"/>
                                  <w:hideMark/>
                                </w:tcPr>
                                <w:p w14:paraId="5C669E4F"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435C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-49 000 000</w:t>
                                  </w:r>
                                </w:p>
                              </w:tc>
                              <w:tc>
                                <w:tcPr>
                                  <w:tcW w:w="0" w:type="auto"/>
                                  <w:tcBorders>
                                    <w:top w:val="nil"/>
                                    <w:left w:val="nil"/>
                                    <w:bottom w:val="single" w:sz="4" w:space="0" w:color="auto"/>
                                    <w:right w:val="single" w:sz="4" w:space="0" w:color="auto"/>
                                  </w:tcBorders>
                                  <w:shd w:val="clear" w:color="auto" w:fill="auto"/>
                                  <w:noWrap/>
                                  <w:hideMark/>
                                </w:tcPr>
                                <w:p w14:paraId="532027E0"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0</w:t>
                                  </w:r>
                                </w:p>
                              </w:tc>
                            </w:tr>
                            <w:tr w:rsidR="002D45CF" w:rsidRPr="007A7C3A" w14:paraId="4410F17F" w14:textId="77777777" w:rsidTr="00184A1B">
                              <w:tc>
                                <w:tcPr>
                                  <w:tcW w:w="0" w:type="auto"/>
                                  <w:tcBorders>
                                    <w:top w:val="single" w:sz="4" w:space="0" w:color="000000"/>
                                    <w:left w:val="single" w:sz="8" w:space="0" w:color="auto"/>
                                    <w:bottom w:val="single" w:sz="8" w:space="0" w:color="auto"/>
                                    <w:right w:val="single" w:sz="4" w:space="0" w:color="000000"/>
                                  </w:tcBorders>
                                  <w:shd w:val="clear" w:color="auto" w:fill="auto"/>
                                  <w:noWrap/>
                                  <w:vAlign w:val="bottom"/>
                                  <w:hideMark/>
                                </w:tcPr>
                                <w:p w14:paraId="79FA20D9" w14:textId="115B8C15"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single" w:sz="4" w:space="0" w:color="000000"/>
                                    <w:left w:val="nil"/>
                                    <w:bottom w:val="single" w:sz="8" w:space="0" w:color="auto"/>
                                    <w:right w:val="nil"/>
                                  </w:tcBorders>
                                  <w:shd w:val="clear" w:color="auto" w:fill="auto"/>
                                  <w:noWrap/>
                                  <w:vAlign w:val="bottom"/>
                                  <w:hideMark/>
                                </w:tcPr>
                                <w:p w14:paraId="0BCB0C3D" w14:textId="0019B3E9"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0x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126C1"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4C585C21"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1 000 000 000</w:t>
                                  </w:r>
                                </w:p>
                              </w:tc>
                              <w:tc>
                                <w:tcPr>
                                  <w:tcW w:w="0" w:type="auto"/>
                                  <w:tcBorders>
                                    <w:top w:val="nil"/>
                                    <w:left w:val="nil"/>
                                    <w:bottom w:val="single" w:sz="4" w:space="0" w:color="auto"/>
                                    <w:right w:val="single" w:sz="4" w:space="0" w:color="auto"/>
                                  </w:tcBorders>
                                  <w:shd w:val="clear" w:color="auto" w:fill="auto"/>
                                  <w:noWrap/>
                                  <w:vAlign w:val="bottom"/>
                                  <w:hideMark/>
                                </w:tcPr>
                                <w:p w14:paraId="74D349A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10 000 000</w:t>
                                  </w:r>
                                </w:p>
                              </w:tc>
                              <w:tc>
                                <w:tcPr>
                                  <w:tcW w:w="0" w:type="auto"/>
                                  <w:tcBorders>
                                    <w:top w:val="nil"/>
                                    <w:left w:val="nil"/>
                                    <w:bottom w:val="single" w:sz="4" w:space="0" w:color="auto"/>
                                    <w:right w:val="single" w:sz="4" w:space="0" w:color="auto"/>
                                  </w:tcBorders>
                                  <w:shd w:val="clear" w:color="auto" w:fill="auto"/>
                                  <w:noWrap/>
                                  <w:vAlign w:val="bottom"/>
                                  <w:hideMark/>
                                </w:tcPr>
                                <w:p w14:paraId="68BDB2E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15/12/2025</w:t>
                                  </w:r>
                                </w:p>
                              </w:tc>
                              <w:tc>
                                <w:tcPr>
                                  <w:tcW w:w="0" w:type="auto"/>
                                  <w:tcBorders>
                                    <w:top w:val="nil"/>
                                    <w:left w:val="nil"/>
                                    <w:bottom w:val="single" w:sz="4" w:space="0" w:color="auto"/>
                                    <w:right w:val="single" w:sz="4" w:space="0" w:color="auto"/>
                                  </w:tcBorders>
                                  <w:shd w:val="clear" w:color="auto" w:fill="auto"/>
                                  <w:noWrap/>
                                  <w:vAlign w:val="bottom"/>
                                  <w:hideMark/>
                                </w:tcPr>
                                <w:p w14:paraId="5085584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15/12/2025</w:t>
                                  </w:r>
                                </w:p>
                              </w:tc>
                              <w:tc>
                                <w:tcPr>
                                  <w:tcW w:w="0" w:type="auto"/>
                                  <w:tcBorders>
                                    <w:top w:val="nil"/>
                                    <w:left w:val="nil"/>
                                    <w:bottom w:val="single" w:sz="4" w:space="0" w:color="auto"/>
                                    <w:right w:val="single" w:sz="4" w:space="0" w:color="auto"/>
                                  </w:tcBorders>
                                  <w:shd w:val="clear" w:color="auto" w:fill="auto"/>
                                  <w:noWrap/>
                                  <w:vAlign w:val="bottom"/>
                                  <w:hideMark/>
                                </w:tcPr>
                                <w:p w14:paraId="26998300"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900 000 000</w:t>
                                  </w:r>
                                </w:p>
                              </w:tc>
                              <w:tc>
                                <w:tcPr>
                                  <w:tcW w:w="0" w:type="auto"/>
                                  <w:tcBorders>
                                    <w:top w:val="nil"/>
                                    <w:left w:val="nil"/>
                                    <w:bottom w:val="nil"/>
                                    <w:right w:val="nil"/>
                                  </w:tcBorders>
                                  <w:shd w:val="clear" w:color="auto" w:fill="auto"/>
                                  <w:noWrap/>
                                  <w:vAlign w:val="bottom"/>
                                  <w:hideMark/>
                                </w:tcPr>
                                <w:p w14:paraId="6A436898"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08801"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110 000 000</w:t>
                                  </w:r>
                                </w:p>
                              </w:tc>
                              <w:tc>
                                <w:tcPr>
                                  <w:tcW w:w="0" w:type="auto"/>
                                  <w:tcBorders>
                                    <w:top w:val="nil"/>
                                    <w:left w:val="nil"/>
                                    <w:bottom w:val="nil"/>
                                    <w:right w:val="single" w:sz="4" w:space="0" w:color="auto"/>
                                  </w:tcBorders>
                                  <w:shd w:val="clear" w:color="auto" w:fill="auto"/>
                                  <w:noWrap/>
                                  <w:hideMark/>
                                </w:tcPr>
                                <w:p w14:paraId="103E60B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110 000 000</w:t>
                                  </w:r>
                                </w:p>
                              </w:tc>
                            </w:tr>
                            <w:tr w:rsidR="002D45CF" w:rsidRPr="007A7C3A" w14:paraId="1AA9F616" w14:textId="77777777" w:rsidTr="00184A1B">
                              <w:tc>
                                <w:tcPr>
                                  <w:tcW w:w="0" w:type="auto"/>
                                  <w:tcBorders>
                                    <w:top w:val="nil"/>
                                    <w:left w:val="nil"/>
                                    <w:bottom w:val="nil"/>
                                    <w:right w:val="nil"/>
                                  </w:tcBorders>
                                  <w:shd w:val="clear" w:color="auto" w:fill="auto"/>
                                  <w:noWrap/>
                                  <w:vAlign w:val="bottom"/>
                                  <w:hideMark/>
                                </w:tcPr>
                                <w:p w14:paraId="590D64A2"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nil"/>
                                    <w:bottom w:val="nil"/>
                                    <w:right w:val="nil"/>
                                  </w:tcBorders>
                                  <w:shd w:val="clear" w:color="auto" w:fill="auto"/>
                                  <w:noWrap/>
                                  <w:vAlign w:val="bottom"/>
                                  <w:hideMark/>
                                </w:tcPr>
                                <w:p w14:paraId="71DA9056"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68E02C40"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B0E7A93"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58145BF"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B5DA366"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5252795D"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4106C19F"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3B3ECCA0"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33CE41F"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14:paraId="02087CD7"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262 500 000</w:t>
                                  </w:r>
                                </w:p>
                              </w:tc>
                            </w:tr>
                          </w:tbl>
                          <w:p w14:paraId="05526365" w14:textId="77777777" w:rsidR="002D45CF" w:rsidRPr="00991041" w:rsidRDefault="002D45CF" w:rsidP="00984D6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8B66" id="Text Box 20" o:spid="_x0000_s1050" type="#_x0000_t202" style="position:absolute;left:0;text-align:left;margin-left:0;margin-top:41.55pt;width:719.1pt;height:357.8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" fillcolor="window" strokeweight=".5pt">
                <v:textbox>
                  <w:txbxContent>
                    <w:p w14:paraId="4731470A" w14:textId="77777777" w:rsidR="002D45CF" w:rsidRPr="00991041" w:rsidRDefault="002D45CF" w:rsidP="00984D67">
                      <w:pPr>
                        <w:rPr>
                          <w:b/>
                          <w:lang w:val="en-GB"/>
                        </w:rPr>
                      </w:pPr>
                      <w:r>
                        <w:rPr>
                          <w:b/>
                          <w:lang w:val="en-GB"/>
                        </w:rPr>
                        <w:t>Simplified e</w:t>
                      </w:r>
                      <w:r w:rsidRPr="00991041">
                        <w:rPr>
                          <w:b/>
                          <w:lang w:val="en-GB"/>
                        </w:rPr>
                        <w:t>xample</w:t>
                      </w:r>
                    </w:p>
                    <w:p w14:paraId="487F36FB" w14:textId="77777777" w:rsidR="002D45CF" w:rsidRPr="00991041" w:rsidRDefault="002D45CF" w:rsidP="00984D67">
                      <w:pPr>
                        <w:rPr>
                          <w:lang w:val="en-GB"/>
                        </w:rPr>
                      </w:pPr>
                    </w:p>
                    <w:p w14:paraId="536D07AF" w14:textId="51FADF7F" w:rsidR="002D45CF" w:rsidRPr="007A7C3A" w:rsidRDefault="002D45CF" w:rsidP="00984D67">
                      <w:pPr>
                        <w:rPr>
                          <w:lang w:val="en-GB"/>
                        </w:rPr>
                      </w:pPr>
                      <w:r>
                        <w:rPr>
                          <w:lang w:val="en-GB"/>
                        </w:rPr>
                        <w:t>T</w:t>
                      </w:r>
                      <w:r w:rsidRPr="007A7C3A">
                        <w:rPr>
                          <w:lang w:val="en-GB"/>
                        </w:rPr>
                        <w:t xml:space="preserve">he amount of secured liabilities (inter alia, liabilities for which collateral has been pledged) that exceeds the value of the assets, pledge, lien or collateral </w:t>
                      </w:r>
                      <w:r>
                        <w:rPr>
                          <w:lang w:val="en-GB"/>
                        </w:rPr>
                        <w:t>by</w:t>
                      </w:r>
                      <w:r w:rsidRPr="007A7C3A">
                        <w:rPr>
                          <w:lang w:val="en-GB"/>
                        </w:rPr>
                        <w:t xml:space="preserve"> which it is secured (i.e. the uncovered amount of these secured liabilities) sh</w:t>
                      </w:r>
                      <w:r>
                        <w:rPr>
                          <w:lang w:val="en-GB"/>
                        </w:rPr>
                        <w:t>ould</w:t>
                      </w:r>
                      <w:r w:rsidRPr="007A7C3A">
                        <w:rPr>
                          <w:lang w:val="en-GB"/>
                        </w:rPr>
                        <w:t xml:space="preserve"> not be reported under line </w:t>
                      </w:r>
                      <w:r>
                        <w:rPr>
                          <w:lang w:val="en-GB"/>
                        </w:rPr>
                        <w:t>r01</w:t>
                      </w:r>
                      <w:r w:rsidRPr="007A7C3A">
                        <w:rPr>
                          <w:lang w:val="en-GB"/>
                        </w:rPr>
                        <w:t xml:space="preserve">20, but it </w:t>
                      </w:r>
                      <w:r>
                        <w:rPr>
                          <w:lang w:val="en-GB"/>
                        </w:rPr>
                        <w:t xml:space="preserve">has to </w:t>
                      </w:r>
                      <w:r w:rsidRPr="007A7C3A">
                        <w:rPr>
                          <w:lang w:val="en-GB"/>
                        </w:rPr>
                        <w:t xml:space="preserve">be reported under line </w:t>
                      </w:r>
                      <w:r>
                        <w:rPr>
                          <w:lang w:val="en-GB"/>
                        </w:rPr>
                        <w:t>r03</w:t>
                      </w:r>
                      <w:r w:rsidRPr="007A7C3A">
                        <w:rPr>
                          <w:lang w:val="en-GB"/>
                        </w:rPr>
                        <w:t xml:space="preserve">40, subject to an additional </w:t>
                      </w:r>
                      <w:r>
                        <w:rPr>
                          <w:lang w:val="en-GB"/>
                        </w:rPr>
                        <w:t xml:space="preserve">maturity </w:t>
                      </w:r>
                      <w:r w:rsidRPr="007A7C3A">
                        <w:rPr>
                          <w:lang w:val="en-GB"/>
                        </w:rPr>
                        <w:t>breakdown.</w:t>
                      </w:r>
                      <w:r>
                        <w:rPr>
                          <w:lang w:val="en-GB"/>
                        </w:rPr>
                        <w:t xml:space="preserve"> </w:t>
                      </w:r>
                      <w:r w:rsidRPr="007A7C3A">
                        <w:rPr>
                          <w:lang w:val="en-GB"/>
                        </w:rPr>
                        <w:t xml:space="preserve">The unsecured portion of secured liabilities is given by the difference between (i) the </w:t>
                      </w:r>
                      <w:r>
                        <w:rPr>
                          <w:lang w:val="en-GB"/>
                        </w:rPr>
                        <w:t>‘</w:t>
                      </w:r>
                      <w:r w:rsidRPr="007A7C3A">
                        <w:rPr>
                          <w:lang w:val="en-GB"/>
                        </w:rPr>
                        <w:t>Outstanding Principal Amount</w:t>
                      </w:r>
                      <w:r>
                        <w:rPr>
                          <w:lang w:val="en-GB"/>
                        </w:rPr>
                        <w:t>’</w:t>
                      </w:r>
                      <w:r w:rsidRPr="007A7C3A">
                        <w:rPr>
                          <w:lang w:val="en-GB"/>
                        </w:rPr>
                        <w:t xml:space="preserve"> plus </w:t>
                      </w:r>
                      <w:r>
                        <w:rPr>
                          <w:lang w:val="en-GB"/>
                        </w:rPr>
                        <w:t>‘</w:t>
                      </w:r>
                      <w:r w:rsidRPr="007A7C3A">
                        <w:rPr>
                          <w:lang w:val="en-GB"/>
                        </w:rPr>
                        <w:t>Accrued Interest</w:t>
                      </w:r>
                      <w:r>
                        <w:rPr>
                          <w:lang w:val="en-GB"/>
                        </w:rPr>
                        <w:t>’</w:t>
                      </w:r>
                      <w:r w:rsidRPr="007A7C3A">
                        <w:rPr>
                          <w:lang w:val="en-GB"/>
                        </w:rPr>
                        <w:t xml:space="preserve"> and (ii) the </w:t>
                      </w:r>
                      <w:r>
                        <w:rPr>
                          <w:lang w:val="en-GB"/>
                        </w:rPr>
                        <w:t>‘</w:t>
                      </w:r>
                      <w:r w:rsidRPr="007A7C3A">
                        <w:rPr>
                          <w:lang w:val="en-GB"/>
                        </w:rPr>
                        <w:t>Amount of pledge, lien or collateral</w:t>
                      </w:r>
                      <w:r>
                        <w:rPr>
                          <w:lang w:val="en-GB"/>
                        </w:rPr>
                        <w:t>’</w:t>
                      </w:r>
                      <w:r w:rsidRPr="007A7C3A">
                        <w:rPr>
                          <w:lang w:val="en-GB"/>
                        </w:rPr>
                        <w:t xml:space="preserve"> </w:t>
                      </w:r>
                      <w:r>
                        <w:rPr>
                          <w:lang w:val="en-GB"/>
                        </w:rPr>
                        <w:t xml:space="preserve">by </w:t>
                      </w:r>
                      <w:r w:rsidRPr="007A7C3A">
                        <w:rPr>
                          <w:lang w:val="en-GB"/>
                        </w:rPr>
                        <w:t>which the liability is secured</w:t>
                      </w:r>
                      <w:r>
                        <w:rPr>
                          <w:lang w:val="en-GB"/>
                        </w:rPr>
                        <w:t>.</w:t>
                      </w:r>
                      <w:r w:rsidRPr="007A7C3A">
                        <w:rPr>
                          <w:lang w:val="en-GB"/>
                        </w:rPr>
                        <w:t xml:space="preserve"> </w:t>
                      </w:r>
                      <w:r>
                        <w:rPr>
                          <w:lang w:val="en-GB"/>
                        </w:rPr>
                        <w:t>S</w:t>
                      </w:r>
                      <w:r w:rsidRPr="007A7C3A">
                        <w:rPr>
                          <w:lang w:val="en-GB"/>
                        </w:rPr>
                        <w:t xml:space="preserve">uch difference, when referred to secured liabilities, shall be reported under line </w:t>
                      </w:r>
                      <w:r>
                        <w:rPr>
                          <w:lang w:val="en-GB"/>
                        </w:rPr>
                        <w:t>r03</w:t>
                      </w:r>
                      <w:r w:rsidRPr="007A7C3A">
                        <w:rPr>
                          <w:lang w:val="en-GB"/>
                        </w:rPr>
                        <w:t>40 of T01.00.</w:t>
                      </w:r>
                    </w:p>
                    <w:p w14:paraId="18CCAFE0" w14:textId="77777777" w:rsidR="002D45CF" w:rsidRPr="007A7C3A" w:rsidRDefault="002D45CF" w:rsidP="00984D67">
                      <w:pPr>
                        <w:rPr>
                          <w:lang w:val="en-GB"/>
                        </w:rPr>
                      </w:pPr>
                    </w:p>
                    <w:p w14:paraId="7F83DC0B" w14:textId="205CF1A4" w:rsidR="002D45CF" w:rsidRPr="00247671" w:rsidRDefault="002D45CF" w:rsidP="00984D67">
                      <w:pPr>
                        <w:rPr>
                          <w:lang w:val="en-GB"/>
                        </w:rPr>
                      </w:pPr>
                      <w:r w:rsidRPr="007A7C3A">
                        <w:rPr>
                          <w:lang w:val="en-GB"/>
                        </w:rPr>
                        <w:t xml:space="preserve">In the following example, an institution has issued secured bonds in different amounts, legal structures and maturities. </w:t>
                      </w:r>
                      <w:r w:rsidRPr="006550F9">
                        <w:rPr>
                          <w:b/>
                          <w:lang w:val="en-GB"/>
                        </w:rPr>
                        <w:t>The un</w:t>
                      </w:r>
                      <w:r>
                        <w:rPr>
                          <w:b/>
                          <w:lang w:val="en-GB"/>
                        </w:rPr>
                        <w:t>collateralized</w:t>
                      </w:r>
                      <w:r w:rsidRPr="006550F9">
                        <w:rPr>
                          <w:b/>
                          <w:lang w:val="en-GB"/>
                        </w:rPr>
                        <w:t xml:space="preserve"> portion of the secured liabilities (in the table below </w:t>
                      </w:r>
                      <w:r>
                        <w:rPr>
                          <w:b/>
                          <w:lang w:val="en-GB"/>
                        </w:rPr>
                        <w:t>EUR</w:t>
                      </w:r>
                      <w:r w:rsidRPr="006550F9">
                        <w:rPr>
                          <w:b/>
                          <w:lang w:val="en-GB"/>
                        </w:rPr>
                        <w:t xml:space="preserve"> 161,500,000) shall be reported under line </w:t>
                      </w:r>
                      <w:r>
                        <w:rPr>
                          <w:b/>
                          <w:lang w:val="en-GB"/>
                        </w:rPr>
                        <w:t>r03</w:t>
                      </w:r>
                      <w:r w:rsidRPr="006550F9">
                        <w:rPr>
                          <w:b/>
                          <w:lang w:val="en-GB"/>
                        </w:rPr>
                        <w:t>40 of T01.00.</w:t>
                      </w:r>
                    </w:p>
                    <w:p w14:paraId="009D90A1" w14:textId="77777777" w:rsidR="002D45CF" w:rsidRPr="00991041" w:rsidRDefault="002D45CF" w:rsidP="00984D67">
                      <w:pPr>
                        <w:rPr>
                          <w:sz w:val="16"/>
                          <w:lang w:val="en-GB"/>
                        </w:rPr>
                      </w:pPr>
                    </w:p>
                    <w:p w14:paraId="37C22311" w14:textId="77777777" w:rsidR="002D45CF" w:rsidRDefault="002D45CF" w:rsidP="00984D67">
                      <w:pPr>
                        <w:rPr>
                          <w:lang w:val="en-GB"/>
                        </w:rPr>
                      </w:pPr>
                      <w:r w:rsidRPr="007A7C3A">
                        <w:rPr>
                          <w:lang w:val="en-GB"/>
                        </w:rPr>
                        <w:t xml:space="preserve">This reporting rule shall be applied to all secured liabilities reported in tabs </w:t>
                      </w:r>
                      <w:r>
                        <w:rPr>
                          <w:lang w:val="en-GB"/>
                        </w:rPr>
                        <w:t xml:space="preserve">T03.01, </w:t>
                      </w:r>
                      <w:r w:rsidRPr="007A7C3A">
                        <w:rPr>
                          <w:lang w:val="en-GB"/>
                        </w:rPr>
                        <w:t>T04.00, T05.00, T06.00, T08.00.</w:t>
                      </w:r>
                      <w:r>
                        <w:rPr>
                          <w:lang w:val="en-GB"/>
                        </w:rPr>
                        <w:t xml:space="preserve"> For the latter table, please note that the rule is slightly different due to the nature of the report and merely refers to the net amount of funding received, decreased by the net amount of collateral posted to determine any uncollateralized portion of these liabilities.</w:t>
                      </w:r>
                    </w:p>
                    <w:p w14:paraId="2DC80DF5" w14:textId="77777777" w:rsidR="002D45CF" w:rsidRDefault="002D45CF" w:rsidP="00984D67">
                      <w:pPr>
                        <w:rPr>
                          <w:lang w:val="en-GB"/>
                        </w:rPr>
                      </w:pPr>
                    </w:p>
                    <w:tbl>
                      <w:tblPr>
                        <w:tblW w:w="0" w:type="auto"/>
                        <w:tblLook w:val="04A0" w:firstRow="1" w:lastRow="0" w:firstColumn="1" w:lastColumn="0" w:noHBand="0" w:noVBand="1"/>
                      </w:tblPr>
                      <w:tblGrid>
                        <w:gridCol w:w="1207"/>
                        <w:gridCol w:w="1206"/>
                        <w:gridCol w:w="1299"/>
                        <w:gridCol w:w="1548"/>
                        <w:gridCol w:w="1126"/>
                        <w:gridCol w:w="1380"/>
                        <w:gridCol w:w="1161"/>
                        <w:gridCol w:w="1555"/>
                        <w:gridCol w:w="222"/>
                        <w:gridCol w:w="1116"/>
                        <w:gridCol w:w="2263"/>
                      </w:tblGrid>
                      <w:tr w:rsidR="002D45CF" w:rsidRPr="007A7C3A" w14:paraId="4CE72C03" w14:textId="77777777" w:rsidTr="007A7C3A">
                        <w:tc>
                          <w:tcPr>
                            <w:tcW w:w="0" w:type="auto"/>
                            <w:tcBorders>
                              <w:top w:val="nil"/>
                              <w:left w:val="nil"/>
                              <w:bottom w:val="nil"/>
                              <w:right w:val="nil"/>
                            </w:tcBorders>
                            <w:shd w:val="clear" w:color="auto" w:fill="auto"/>
                            <w:noWrap/>
                            <w:vAlign w:val="bottom"/>
                            <w:hideMark/>
                          </w:tcPr>
                          <w:p w14:paraId="6ECC3995"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2BC9F135"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D373D44"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650B0"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C25ADB"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B</w:t>
                            </w:r>
                          </w:p>
                        </w:tc>
                        <w:tc>
                          <w:tcPr>
                            <w:tcW w:w="0" w:type="auto"/>
                            <w:tcBorders>
                              <w:top w:val="nil"/>
                              <w:left w:val="nil"/>
                              <w:bottom w:val="nil"/>
                              <w:right w:val="nil"/>
                            </w:tcBorders>
                            <w:shd w:val="clear" w:color="auto" w:fill="auto"/>
                            <w:noWrap/>
                            <w:vAlign w:val="bottom"/>
                            <w:hideMark/>
                          </w:tcPr>
                          <w:p w14:paraId="24248B7B" w14:textId="77777777" w:rsidR="002D45CF" w:rsidRPr="006550F9" w:rsidRDefault="002D45CF" w:rsidP="007A7C3A">
                            <w:pPr>
                              <w:spacing w:line="240" w:lineRule="auto"/>
                              <w:jc w:val="center"/>
                              <w:rPr>
                                <w:rFonts w:eastAsia="Times New Roman" w:cs="Arial"/>
                                <w:sz w:val="14"/>
                                <w:szCs w:val="16"/>
                                <w:lang w:val="en-GB" w:eastAsia="en-GB"/>
                              </w:rPr>
                            </w:pPr>
                          </w:p>
                        </w:tc>
                        <w:tc>
                          <w:tcPr>
                            <w:tcW w:w="0" w:type="auto"/>
                            <w:tcBorders>
                              <w:top w:val="nil"/>
                              <w:left w:val="nil"/>
                              <w:bottom w:val="nil"/>
                              <w:right w:val="nil"/>
                            </w:tcBorders>
                            <w:shd w:val="clear" w:color="auto" w:fill="auto"/>
                            <w:noWrap/>
                            <w:vAlign w:val="bottom"/>
                            <w:hideMark/>
                          </w:tcPr>
                          <w:p w14:paraId="2907B458"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E5276"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C</w:t>
                            </w:r>
                          </w:p>
                        </w:tc>
                        <w:tc>
                          <w:tcPr>
                            <w:tcW w:w="0" w:type="auto"/>
                            <w:tcBorders>
                              <w:top w:val="nil"/>
                              <w:left w:val="nil"/>
                              <w:bottom w:val="nil"/>
                              <w:right w:val="nil"/>
                            </w:tcBorders>
                            <w:shd w:val="clear" w:color="auto" w:fill="auto"/>
                            <w:noWrap/>
                            <w:vAlign w:val="bottom"/>
                            <w:hideMark/>
                          </w:tcPr>
                          <w:p w14:paraId="7FCE3F12" w14:textId="77777777" w:rsidR="002D45CF" w:rsidRPr="006550F9" w:rsidRDefault="002D45CF" w:rsidP="007A7C3A">
                            <w:pPr>
                              <w:spacing w:line="240" w:lineRule="auto"/>
                              <w:jc w:val="center"/>
                              <w:rPr>
                                <w:rFonts w:eastAsia="Times New Roman" w:cs="Arial"/>
                                <w:sz w:val="14"/>
                                <w:szCs w:val="16"/>
                                <w:lang w:val="en-GB" w:eastAsia="en-GB"/>
                              </w:rPr>
                            </w:pPr>
                          </w:p>
                        </w:tc>
                        <w:tc>
                          <w:tcPr>
                            <w:tcW w:w="0" w:type="auto"/>
                            <w:tcBorders>
                              <w:top w:val="nil"/>
                              <w:left w:val="nil"/>
                              <w:bottom w:val="nil"/>
                              <w:right w:val="nil"/>
                            </w:tcBorders>
                            <w:shd w:val="clear" w:color="auto" w:fill="auto"/>
                            <w:noWrap/>
                            <w:vAlign w:val="bottom"/>
                            <w:hideMark/>
                          </w:tcPr>
                          <w:p w14:paraId="26569D50"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63DDBEA2" w14:textId="77777777" w:rsidR="002D45CF" w:rsidRPr="006550F9" w:rsidRDefault="002D45CF" w:rsidP="007A7C3A">
                            <w:pPr>
                              <w:spacing w:line="240" w:lineRule="auto"/>
                              <w:jc w:val="left"/>
                              <w:rPr>
                                <w:rFonts w:eastAsia="Times New Roman" w:cs="Times New Roman"/>
                                <w:sz w:val="14"/>
                                <w:szCs w:val="16"/>
                                <w:lang w:val="en-GB" w:eastAsia="en-GB"/>
                              </w:rPr>
                            </w:pPr>
                          </w:p>
                        </w:tc>
                      </w:tr>
                      <w:tr w:rsidR="002D45CF" w:rsidRPr="00E43D3D" w14:paraId="468BEA7F" w14:textId="77777777" w:rsidTr="007A7C3A">
                        <w:tc>
                          <w:tcPr>
                            <w:tcW w:w="0" w:type="auto"/>
                            <w:gridSpan w:val="2"/>
                            <w:tcBorders>
                              <w:top w:val="single" w:sz="4" w:space="0" w:color="000000"/>
                              <w:left w:val="single" w:sz="4" w:space="0" w:color="000000"/>
                              <w:bottom w:val="nil"/>
                              <w:right w:val="single" w:sz="4" w:space="0" w:color="000000"/>
                            </w:tcBorders>
                            <w:shd w:val="clear" w:color="000000" w:fill="D9D9D9"/>
                            <w:vAlign w:val="center"/>
                            <w:hideMark/>
                          </w:tcPr>
                          <w:p w14:paraId="5B903CCA"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Reconciliation with aggregated data</w:t>
                            </w:r>
                          </w:p>
                        </w:tc>
                        <w:tc>
                          <w:tcPr>
                            <w:tcW w:w="0" w:type="auto"/>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78F915"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T04.00 - Securities (Including CET1, AT1 &amp; Tier 2 Instruments; Excluding intragroup)</w:t>
                            </w:r>
                          </w:p>
                        </w:tc>
                        <w:tc>
                          <w:tcPr>
                            <w:tcW w:w="0" w:type="auto"/>
                            <w:tcBorders>
                              <w:top w:val="nil"/>
                              <w:left w:val="nil"/>
                              <w:bottom w:val="nil"/>
                              <w:right w:val="nil"/>
                            </w:tcBorders>
                            <w:shd w:val="clear" w:color="auto" w:fill="auto"/>
                            <w:noWrap/>
                            <w:vAlign w:val="bottom"/>
                            <w:hideMark/>
                          </w:tcPr>
                          <w:p w14:paraId="06F88375" w14:textId="77777777" w:rsidR="002D45CF" w:rsidRPr="006550F9" w:rsidRDefault="002D45CF" w:rsidP="007A7C3A">
                            <w:pPr>
                              <w:spacing w:line="240" w:lineRule="auto"/>
                              <w:jc w:val="center"/>
                              <w:rPr>
                                <w:rFonts w:eastAsia="Times New Roman" w:cs="Times New Roman"/>
                                <w:color w:val="000000"/>
                                <w:sz w:val="14"/>
                                <w:szCs w:val="16"/>
                                <w:lang w:val="en-GB" w:eastAsia="en-GB"/>
                              </w:rPr>
                            </w:pPr>
                          </w:p>
                        </w:tc>
                        <w:tc>
                          <w:tcPr>
                            <w:tcW w:w="0" w:type="auto"/>
                            <w:tcBorders>
                              <w:top w:val="nil"/>
                              <w:left w:val="nil"/>
                              <w:bottom w:val="nil"/>
                              <w:right w:val="nil"/>
                            </w:tcBorders>
                            <w:shd w:val="clear" w:color="auto" w:fill="auto"/>
                            <w:noWrap/>
                            <w:vAlign w:val="bottom"/>
                            <w:hideMark/>
                          </w:tcPr>
                          <w:p w14:paraId="06D7D767" w14:textId="77777777" w:rsidR="002D45CF" w:rsidRPr="006550F9" w:rsidRDefault="002D45CF" w:rsidP="007A7C3A">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216F513A" w14:textId="77777777" w:rsidR="002D45CF" w:rsidRPr="006550F9" w:rsidRDefault="002D45CF" w:rsidP="007A7C3A">
                            <w:pPr>
                              <w:spacing w:line="240" w:lineRule="auto"/>
                              <w:jc w:val="center"/>
                              <w:rPr>
                                <w:rFonts w:eastAsia="Times New Roman" w:cs="Times New Roman"/>
                                <w:sz w:val="14"/>
                                <w:szCs w:val="16"/>
                                <w:lang w:val="en-GB" w:eastAsia="en-GB"/>
                              </w:rPr>
                            </w:pPr>
                          </w:p>
                        </w:tc>
                      </w:tr>
                      <w:tr w:rsidR="002D45CF" w:rsidRPr="00E43D3D" w14:paraId="5E98E522" w14:textId="77777777" w:rsidTr="007A7C3A">
                        <w:tc>
                          <w:tcPr>
                            <w:tcW w:w="0" w:type="auto"/>
                            <w:tcBorders>
                              <w:top w:val="single" w:sz="4" w:space="0" w:color="000000"/>
                              <w:left w:val="single" w:sz="4" w:space="0" w:color="000000"/>
                              <w:bottom w:val="nil"/>
                              <w:right w:val="single" w:sz="4" w:space="0" w:color="000000"/>
                            </w:tcBorders>
                            <w:shd w:val="clear" w:color="000000" w:fill="D9D9D9"/>
                            <w:vAlign w:val="center"/>
                            <w:hideMark/>
                          </w:tcPr>
                          <w:p w14:paraId="00AFEE78"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Line</w:t>
                            </w:r>
                          </w:p>
                        </w:tc>
                        <w:tc>
                          <w:tcPr>
                            <w:tcW w:w="0" w:type="auto"/>
                            <w:tcBorders>
                              <w:top w:val="single" w:sz="4" w:space="0" w:color="000000"/>
                              <w:left w:val="nil"/>
                              <w:bottom w:val="nil"/>
                              <w:right w:val="single" w:sz="4" w:space="0" w:color="000000"/>
                            </w:tcBorders>
                            <w:shd w:val="clear" w:color="000000" w:fill="D9D9D9"/>
                            <w:vAlign w:val="center"/>
                            <w:hideMark/>
                          </w:tcPr>
                          <w:p w14:paraId="785C2D62"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Column</w:t>
                            </w:r>
                          </w:p>
                        </w:tc>
                        <w:tc>
                          <w:tcPr>
                            <w:tcW w:w="0" w:type="auto"/>
                            <w:tcBorders>
                              <w:top w:val="nil"/>
                              <w:left w:val="nil"/>
                              <w:bottom w:val="nil"/>
                              <w:right w:val="single" w:sz="4" w:space="0" w:color="000000"/>
                            </w:tcBorders>
                            <w:shd w:val="clear" w:color="000000" w:fill="D9D9D9"/>
                            <w:vAlign w:val="center"/>
                            <w:hideMark/>
                          </w:tcPr>
                          <w:p w14:paraId="034606DC"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Type of Instrument</w:t>
                            </w:r>
                          </w:p>
                        </w:tc>
                        <w:tc>
                          <w:tcPr>
                            <w:tcW w:w="0" w:type="auto"/>
                            <w:tcBorders>
                              <w:top w:val="nil"/>
                              <w:left w:val="nil"/>
                              <w:bottom w:val="nil"/>
                              <w:right w:val="single" w:sz="4" w:space="0" w:color="000000"/>
                            </w:tcBorders>
                            <w:shd w:val="clear" w:color="000000" w:fill="D9D9D9"/>
                            <w:vAlign w:val="center"/>
                            <w:hideMark/>
                          </w:tcPr>
                          <w:p w14:paraId="3081E77C"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Outstanding Principal Amount</w:t>
                            </w:r>
                          </w:p>
                        </w:tc>
                        <w:tc>
                          <w:tcPr>
                            <w:tcW w:w="0" w:type="auto"/>
                            <w:tcBorders>
                              <w:top w:val="nil"/>
                              <w:left w:val="nil"/>
                              <w:bottom w:val="nil"/>
                              <w:right w:val="single" w:sz="4" w:space="0" w:color="000000"/>
                            </w:tcBorders>
                            <w:shd w:val="clear" w:color="000000" w:fill="D9D9D9"/>
                            <w:vAlign w:val="center"/>
                            <w:hideMark/>
                          </w:tcPr>
                          <w:p w14:paraId="029A576B"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Accrued Interest</w:t>
                            </w:r>
                          </w:p>
                        </w:tc>
                        <w:tc>
                          <w:tcPr>
                            <w:tcW w:w="0" w:type="auto"/>
                            <w:tcBorders>
                              <w:top w:val="nil"/>
                              <w:left w:val="nil"/>
                              <w:bottom w:val="nil"/>
                              <w:right w:val="single" w:sz="4" w:space="0" w:color="000000"/>
                            </w:tcBorders>
                            <w:shd w:val="clear" w:color="000000" w:fill="D9D9D9"/>
                            <w:vAlign w:val="center"/>
                            <w:hideMark/>
                          </w:tcPr>
                          <w:p w14:paraId="76186668"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Earliest Redemption Date</w:t>
                            </w:r>
                          </w:p>
                        </w:tc>
                        <w:tc>
                          <w:tcPr>
                            <w:tcW w:w="0" w:type="auto"/>
                            <w:tcBorders>
                              <w:top w:val="nil"/>
                              <w:left w:val="nil"/>
                              <w:bottom w:val="nil"/>
                              <w:right w:val="single" w:sz="4" w:space="0" w:color="000000"/>
                            </w:tcBorders>
                            <w:shd w:val="clear" w:color="000000" w:fill="D9D9D9"/>
                            <w:vAlign w:val="center"/>
                            <w:hideMark/>
                          </w:tcPr>
                          <w:p w14:paraId="211D8904"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Legal Maturity</w:t>
                            </w:r>
                          </w:p>
                        </w:tc>
                        <w:tc>
                          <w:tcPr>
                            <w:tcW w:w="0" w:type="auto"/>
                            <w:tcBorders>
                              <w:top w:val="nil"/>
                              <w:left w:val="nil"/>
                              <w:bottom w:val="nil"/>
                              <w:right w:val="single" w:sz="4" w:space="0" w:color="000000"/>
                            </w:tcBorders>
                            <w:shd w:val="clear" w:color="000000" w:fill="D9D9D9"/>
                            <w:vAlign w:val="center"/>
                            <w:hideMark/>
                          </w:tcPr>
                          <w:p w14:paraId="051E11C8"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Amount of pledge, lien or collateral</w:t>
                            </w:r>
                          </w:p>
                        </w:tc>
                        <w:tc>
                          <w:tcPr>
                            <w:tcW w:w="0" w:type="auto"/>
                            <w:tcBorders>
                              <w:top w:val="nil"/>
                              <w:left w:val="nil"/>
                              <w:bottom w:val="nil"/>
                              <w:right w:val="nil"/>
                            </w:tcBorders>
                            <w:shd w:val="clear" w:color="auto" w:fill="auto"/>
                            <w:noWrap/>
                            <w:vAlign w:val="center"/>
                            <w:hideMark/>
                          </w:tcPr>
                          <w:p w14:paraId="6D9CE964" w14:textId="77777777" w:rsidR="002D45CF" w:rsidRPr="006550F9" w:rsidRDefault="002D45CF" w:rsidP="007A7C3A">
                            <w:pPr>
                              <w:spacing w:line="240" w:lineRule="auto"/>
                              <w:jc w:val="center"/>
                              <w:rPr>
                                <w:rFonts w:eastAsia="Times New Roman" w:cs="Times New Roman"/>
                                <w:color w:val="000000"/>
                                <w:sz w:val="14"/>
                                <w:szCs w:val="16"/>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282F6"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(A+B)-C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56E4EB"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Uncollateralised portion of outstanding debt (including interest)</w:t>
                            </w:r>
                          </w:p>
                        </w:tc>
                      </w:tr>
                      <w:tr w:rsidR="002D45CF" w:rsidRPr="00D43310" w14:paraId="6BB074C9" w14:textId="77777777" w:rsidTr="007A7C3A">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9B3A6C" w14:textId="77777777" w:rsidR="002D45CF" w:rsidRPr="006550F9" w:rsidRDefault="002D45CF" w:rsidP="007A7C3A">
                            <w:pPr>
                              <w:spacing w:line="240" w:lineRule="auto"/>
                              <w:jc w:val="center"/>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List of values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201CF862" w14:textId="77777777" w:rsidR="002D45CF" w:rsidRPr="006550F9" w:rsidRDefault="002D45CF" w:rsidP="007A7C3A">
                            <w:pPr>
                              <w:spacing w:line="240" w:lineRule="auto"/>
                              <w:jc w:val="center"/>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List of values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12719575" w14:textId="77777777" w:rsidR="002D45CF" w:rsidRPr="006550F9" w:rsidRDefault="002D45CF" w:rsidP="007A7C3A">
                            <w:pPr>
                              <w:spacing w:line="240" w:lineRule="auto"/>
                              <w:jc w:val="center"/>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List of values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2A7F526B" w14:textId="77777777" w:rsidR="002D45CF" w:rsidRPr="006550F9" w:rsidRDefault="002D45CF" w:rsidP="007A7C3A">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71898D16" w14:textId="77777777" w:rsidR="002D45CF" w:rsidRPr="006550F9" w:rsidRDefault="002D45CF" w:rsidP="007A7C3A">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44F68A5D" w14:textId="77777777" w:rsidR="002D45CF" w:rsidRPr="006550F9" w:rsidRDefault="002D45CF" w:rsidP="007A7C3A">
                            <w:pPr>
                              <w:spacing w:line="240" w:lineRule="auto"/>
                              <w:jc w:val="left"/>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YYYY-MM-DD</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4126F7EA" w14:textId="77777777" w:rsidR="002D45CF" w:rsidRPr="006550F9" w:rsidRDefault="002D45CF" w:rsidP="007A7C3A">
                            <w:pPr>
                              <w:spacing w:line="240" w:lineRule="auto"/>
                              <w:jc w:val="left"/>
                              <w:rPr>
                                <w:rFonts w:eastAsia="Times New Roman" w:cs="Times New Roman"/>
                                <w:i/>
                                <w:iCs/>
                                <w:color w:val="000000"/>
                                <w:sz w:val="14"/>
                                <w:szCs w:val="16"/>
                                <w:lang w:val="en-GB" w:eastAsia="en-GB"/>
                              </w:rPr>
                            </w:pPr>
                            <w:r w:rsidRPr="006550F9">
                              <w:rPr>
                                <w:rFonts w:eastAsia="Times New Roman" w:cs="Times New Roman"/>
                                <w:i/>
                                <w:iCs/>
                                <w:color w:val="000000"/>
                                <w:sz w:val="14"/>
                                <w:szCs w:val="16"/>
                                <w:lang w:val="en-GB" w:eastAsia="en-GB"/>
                              </w:rPr>
                              <w:t>YYYY-MM-DD</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0F019597" w14:textId="77777777" w:rsidR="002D45CF" w:rsidRPr="006550F9" w:rsidRDefault="002D45CF" w:rsidP="007A7C3A">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0.00</w:t>
                            </w:r>
                          </w:p>
                        </w:tc>
                        <w:tc>
                          <w:tcPr>
                            <w:tcW w:w="0" w:type="auto"/>
                            <w:tcBorders>
                              <w:top w:val="nil"/>
                              <w:left w:val="nil"/>
                              <w:bottom w:val="nil"/>
                              <w:right w:val="nil"/>
                            </w:tcBorders>
                            <w:shd w:val="clear" w:color="auto" w:fill="auto"/>
                            <w:noWrap/>
                            <w:vAlign w:val="bottom"/>
                            <w:hideMark/>
                          </w:tcPr>
                          <w:p w14:paraId="4AD48391" w14:textId="77777777" w:rsidR="002D45CF" w:rsidRPr="006550F9" w:rsidRDefault="002D45CF" w:rsidP="007A7C3A">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836FA"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7CF204D6"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 </w:t>
                            </w:r>
                          </w:p>
                        </w:tc>
                      </w:tr>
                      <w:tr w:rsidR="002D45CF" w:rsidRPr="00D43310" w14:paraId="500AD44C" w14:textId="77777777" w:rsidTr="007A7C3A">
                        <w:tc>
                          <w:tcPr>
                            <w:tcW w:w="0" w:type="auto"/>
                            <w:tcBorders>
                              <w:top w:val="nil"/>
                              <w:left w:val="single" w:sz="4" w:space="0" w:color="auto"/>
                              <w:bottom w:val="single" w:sz="4" w:space="0" w:color="auto"/>
                              <w:right w:val="single" w:sz="4" w:space="0" w:color="auto"/>
                            </w:tcBorders>
                            <w:shd w:val="clear" w:color="000000" w:fill="D9D9D9"/>
                            <w:vAlign w:val="center"/>
                            <w:hideMark/>
                          </w:tcPr>
                          <w:p w14:paraId="6B7D2459" w14:textId="28AEE6A3"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20</w:t>
                            </w:r>
                          </w:p>
                        </w:tc>
                        <w:tc>
                          <w:tcPr>
                            <w:tcW w:w="0" w:type="auto"/>
                            <w:tcBorders>
                              <w:top w:val="nil"/>
                              <w:left w:val="nil"/>
                              <w:bottom w:val="single" w:sz="4" w:space="0" w:color="auto"/>
                              <w:right w:val="single" w:sz="4" w:space="0" w:color="auto"/>
                            </w:tcBorders>
                            <w:shd w:val="clear" w:color="000000" w:fill="D9D9D9"/>
                            <w:vAlign w:val="center"/>
                            <w:hideMark/>
                          </w:tcPr>
                          <w:p w14:paraId="3AE868BD" w14:textId="58D2CEAF"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30</w:t>
                            </w:r>
                          </w:p>
                        </w:tc>
                        <w:tc>
                          <w:tcPr>
                            <w:tcW w:w="0" w:type="auto"/>
                            <w:tcBorders>
                              <w:top w:val="nil"/>
                              <w:left w:val="nil"/>
                              <w:bottom w:val="single" w:sz="4" w:space="0" w:color="auto"/>
                              <w:right w:val="single" w:sz="4" w:space="0" w:color="auto"/>
                            </w:tcBorders>
                            <w:shd w:val="clear" w:color="000000" w:fill="D9D9D9"/>
                            <w:noWrap/>
                            <w:vAlign w:val="center"/>
                            <w:hideMark/>
                          </w:tcPr>
                          <w:p w14:paraId="0106DEA0" w14:textId="2A4FF6C1"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60</w:t>
                            </w:r>
                          </w:p>
                        </w:tc>
                        <w:tc>
                          <w:tcPr>
                            <w:tcW w:w="0" w:type="auto"/>
                            <w:tcBorders>
                              <w:top w:val="nil"/>
                              <w:left w:val="nil"/>
                              <w:bottom w:val="single" w:sz="4" w:space="0" w:color="auto"/>
                              <w:right w:val="single" w:sz="4" w:space="0" w:color="auto"/>
                            </w:tcBorders>
                            <w:shd w:val="clear" w:color="000000" w:fill="D9D9D9"/>
                            <w:noWrap/>
                            <w:vAlign w:val="center"/>
                            <w:hideMark/>
                          </w:tcPr>
                          <w:p w14:paraId="7F9749EE" w14:textId="58BA0229"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10</w:t>
                            </w:r>
                          </w:p>
                        </w:tc>
                        <w:tc>
                          <w:tcPr>
                            <w:tcW w:w="0" w:type="auto"/>
                            <w:tcBorders>
                              <w:top w:val="nil"/>
                              <w:left w:val="nil"/>
                              <w:bottom w:val="single" w:sz="4" w:space="0" w:color="auto"/>
                              <w:right w:val="single" w:sz="4" w:space="0" w:color="auto"/>
                            </w:tcBorders>
                            <w:shd w:val="clear" w:color="000000" w:fill="D9D9D9"/>
                            <w:noWrap/>
                            <w:vAlign w:val="center"/>
                            <w:hideMark/>
                          </w:tcPr>
                          <w:p w14:paraId="69FC3D4D" w14:textId="72F1B3A3"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20</w:t>
                            </w:r>
                          </w:p>
                        </w:tc>
                        <w:tc>
                          <w:tcPr>
                            <w:tcW w:w="0" w:type="auto"/>
                            <w:tcBorders>
                              <w:top w:val="nil"/>
                              <w:left w:val="nil"/>
                              <w:bottom w:val="single" w:sz="4" w:space="0" w:color="auto"/>
                              <w:right w:val="single" w:sz="4" w:space="0" w:color="auto"/>
                            </w:tcBorders>
                            <w:shd w:val="clear" w:color="000000" w:fill="D9D9D9"/>
                            <w:noWrap/>
                            <w:vAlign w:val="center"/>
                            <w:hideMark/>
                          </w:tcPr>
                          <w:p w14:paraId="0CC89282" w14:textId="3D855EC3"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60</w:t>
                            </w:r>
                          </w:p>
                        </w:tc>
                        <w:tc>
                          <w:tcPr>
                            <w:tcW w:w="0" w:type="auto"/>
                            <w:tcBorders>
                              <w:top w:val="nil"/>
                              <w:left w:val="nil"/>
                              <w:bottom w:val="single" w:sz="4" w:space="0" w:color="auto"/>
                              <w:right w:val="single" w:sz="4" w:space="0" w:color="auto"/>
                            </w:tcBorders>
                            <w:shd w:val="clear" w:color="000000" w:fill="D9D9D9"/>
                            <w:noWrap/>
                            <w:vAlign w:val="center"/>
                            <w:hideMark/>
                          </w:tcPr>
                          <w:p w14:paraId="05A94F69" w14:textId="40914411"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70</w:t>
                            </w:r>
                          </w:p>
                        </w:tc>
                        <w:tc>
                          <w:tcPr>
                            <w:tcW w:w="0" w:type="auto"/>
                            <w:tcBorders>
                              <w:top w:val="nil"/>
                              <w:left w:val="nil"/>
                              <w:bottom w:val="single" w:sz="4" w:space="0" w:color="auto"/>
                              <w:right w:val="single" w:sz="4" w:space="0" w:color="auto"/>
                            </w:tcBorders>
                            <w:shd w:val="clear" w:color="000000" w:fill="D9D9D9"/>
                            <w:noWrap/>
                            <w:vAlign w:val="center"/>
                            <w:hideMark/>
                          </w:tcPr>
                          <w:p w14:paraId="4B581BE0" w14:textId="1FED293A" w:rsidR="002D45CF" w:rsidRPr="006550F9" w:rsidRDefault="002D45CF" w:rsidP="007A7C3A">
                            <w:pPr>
                              <w:spacing w:line="240" w:lineRule="auto"/>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c0</w:t>
                            </w:r>
                            <w:r w:rsidRPr="006550F9">
                              <w:rPr>
                                <w:rFonts w:eastAsia="Times New Roman" w:cs="Times New Roman"/>
                                <w:color w:val="000000"/>
                                <w:sz w:val="14"/>
                                <w:szCs w:val="16"/>
                                <w:lang w:val="en-GB" w:eastAsia="en-GB"/>
                              </w:rPr>
                              <w:t>270</w:t>
                            </w:r>
                          </w:p>
                        </w:tc>
                        <w:tc>
                          <w:tcPr>
                            <w:tcW w:w="0" w:type="auto"/>
                            <w:tcBorders>
                              <w:top w:val="nil"/>
                              <w:left w:val="nil"/>
                              <w:bottom w:val="nil"/>
                              <w:right w:val="nil"/>
                            </w:tcBorders>
                            <w:shd w:val="clear" w:color="auto" w:fill="auto"/>
                            <w:noWrap/>
                            <w:vAlign w:val="bottom"/>
                            <w:hideMark/>
                          </w:tcPr>
                          <w:p w14:paraId="0E324B14" w14:textId="77777777" w:rsidR="002D45CF" w:rsidRPr="006550F9" w:rsidRDefault="002D45CF" w:rsidP="007A7C3A">
                            <w:pPr>
                              <w:spacing w:line="240" w:lineRule="auto"/>
                              <w:jc w:val="center"/>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6E48E" w14:textId="77777777" w:rsidR="002D45CF" w:rsidRPr="006550F9" w:rsidRDefault="002D45CF" w:rsidP="007A7C3A">
                            <w:pPr>
                              <w:spacing w:line="240" w:lineRule="auto"/>
                              <w:jc w:val="center"/>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 </w:t>
                            </w:r>
                          </w:p>
                        </w:tc>
                        <w:tc>
                          <w:tcPr>
                            <w:tcW w:w="0" w:type="auto"/>
                            <w:tcBorders>
                              <w:top w:val="nil"/>
                              <w:left w:val="nil"/>
                              <w:bottom w:val="single" w:sz="4" w:space="0" w:color="auto"/>
                              <w:right w:val="single" w:sz="4" w:space="0" w:color="auto"/>
                            </w:tcBorders>
                            <w:shd w:val="clear" w:color="auto" w:fill="auto"/>
                            <w:vAlign w:val="bottom"/>
                            <w:hideMark/>
                          </w:tcPr>
                          <w:p w14:paraId="7E2AEE74" w14:textId="77777777" w:rsidR="002D45CF" w:rsidRPr="006550F9" w:rsidRDefault="002D45CF" w:rsidP="007A7C3A">
                            <w:pPr>
                              <w:spacing w:line="240" w:lineRule="auto"/>
                              <w:jc w:val="center"/>
                              <w:rPr>
                                <w:rFonts w:eastAsia="Times New Roman" w:cs="Arial"/>
                                <w:sz w:val="14"/>
                                <w:szCs w:val="16"/>
                                <w:lang w:val="en-GB" w:eastAsia="en-GB"/>
                              </w:rPr>
                            </w:pPr>
                            <w:r w:rsidRPr="006550F9">
                              <w:rPr>
                                <w:rFonts w:eastAsia="Times New Roman" w:cs="Arial"/>
                                <w:sz w:val="14"/>
                                <w:szCs w:val="16"/>
                                <w:lang w:val="en-GB" w:eastAsia="en-GB"/>
                              </w:rPr>
                              <w:t> </w:t>
                            </w:r>
                          </w:p>
                        </w:tc>
                      </w:tr>
                      <w:tr w:rsidR="002D45CF" w:rsidRPr="007A7C3A" w14:paraId="63385EB0" w14:textId="77777777" w:rsidTr="00184A1B">
                        <w:tc>
                          <w:tcPr>
                            <w:tcW w:w="0" w:type="auto"/>
                            <w:tcBorders>
                              <w:top w:val="nil"/>
                              <w:left w:val="single" w:sz="8" w:space="0" w:color="auto"/>
                              <w:bottom w:val="nil"/>
                              <w:right w:val="single" w:sz="4" w:space="0" w:color="000000"/>
                            </w:tcBorders>
                            <w:shd w:val="clear" w:color="auto" w:fill="auto"/>
                            <w:noWrap/>
                            <w:vAlign w:val="bottom"/>
                            <w:hideMark/>
                          </w:tcPr>
                          <w:p w14:paraId="4A7F40B3" w14:textId="685362DF"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nil"/>
                              <w:left w:val="nil"/>
                              <w:bottom w:val="nil"/>
                              <w:right w:val="nil"/>
                            </w:tcBorders>
                            <w:shd w:val="clear" w:color="auto" w:fill="auto"/>
                            <w:noWrap/>
                            <w:vAlign w:val="bottom"/>
                            <w:hideMark/>
                          </w:tcPr>
                          <w:p w14:paraId="0EE1EBBF" w14:textId="6204E5D1"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1x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1DB443"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6A9938D1"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500 000 000</w:t>
                            </w:r>
                          </w:p>
                        </w:tc>
                        <w:tc>
                          <w:tcPr>
                            <w:tcW w:w="0" w:type="auto"/>
                            <w:tcBorders>
                              <w:top w:val="nil"/>
                              <w:left w:val="nil"/>
                              <w:bottom w:val="single" w:sz="4" w:space="0" w:color="auto"/>
                              <w:right w:val="single" w:sz="4" w:space="0" w:color="auto"/>
                            </w:tcBorders>
                            <w:shd w:val="clear" w:color="auto" w:fill="auto"/>
                            <w:noWrap/>
                            <w:vAlign w:val="bottom"/>
                            <w:hideMark/>
                          </w:tcPr>
                          <w:p w14:paraId="132598E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1 000 000</w:t>
                            </w:r>
                          </w:p>
                        </w:tc>
                        <w:tc>
                          <w:tcPr>
                            <w:tcW w:w="0" w:type="auto"/>
                            <w:tcBorders>
                              <w:top w:val="nil"/>
                              <w:left w:val="nil"/>
                              <w:bottom w:val="single" w:sz="4" w:space="0" w:color="auto"/>
                              <w:right w:val="single" w:sz="4" w:space="0" w:color="auto"/>
                            </w:tcBorders>
                            <w:shd w:val="clear" w:color="auto" w:fill="auto"/>
                            <w:noWrap/>
                            <w:vAlign w:val="bottom"/>
                            <w:hideMark/>
                          </w:tcPr>
                          <w:p w14:paraId="2467636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30/06/2017</w:t>
                            </w:r>
                          </w:p>
                        </w:tc>
                        <w:tc>
                          <w:tcPr>
                            <w:tcW w:w="0" w:type="auto"/>
                            <w:tcBorders>
                              <w:top w:val="nil"/>
                              <w:left w:val="nil"/>
                              <w:bottom w:val="single" w:sz="4" w:space="0" w:color="auto"/>
                              <w:right w:val="single" w:sz="4" w:space="0" w:color="auto"/>
                            </w:tcBorders>
                            <w:shd w:val="clear" w:color="auto" w:fill="auto"/>
                            <w:noWrap/>
                            <w:vAlign w:val="bottom"/>
                            <w:hideMark/>
                          </w:tcPr>
                          <w:p w14:paraId="2D5D5AEF"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30/06/2025</w:t>
                            </w:r>
                          </w:p>
                        </w:tc>
                        <w:tc>
                          <w:tcPr>
                            <w:tcW w:w="0" w:type="auto"/>
                            <w:tcBorders>
                              <w:top w:val="nil"/>
                              <w:left w:val="nil"/>
                              <w:bottom w:val="single" w:sz="4" w:space="0" w:color="auto"/>
                              <w:right w:val="single" w:sz="4" w:space="0" w:color="auto"/>
                            </w:tcBorders>
                            <w:shd w:val="clear" w:color="auto" w:fill="auto"/>
                            <w:noWrap/>
                            <w:vAlign w:val="bottom"/>
                            <w:hideMark/>
                          </w:tcPr>
                          <w:p w14:paraId="7176479B"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400 000 000</w:t>
                            </w:r>
                          </w:p>
                        </w:tc>
                        <w:tc>
                          <w:tcPr>
                            <w:tcW w:w="0" w:type="auto"/>
                            <w:tcBorders>
                              <w:top w:val="nil"/>
                              <w:left w:val="nil"/>
                              <w:bottom w:val="nil"/>
                              <w:right w:val="nil"/>
                            </w:tcBorders>
                            <w:shd w:val="clear" w:color="auto" w:fill="auto"/>
                            <w:noWrap/>
                            <w:vAlign w:val="bottom"/>
                            <w:hideMark/>
                          </w:tcPr>
                          <w:p w14:paraId="61A5FBC5"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8952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101 000 000</w:t>
                            </w:r>
                          </w:p>
                        </w:tc>
                        <w:tc>
                          <w:tcPr>
                            <w:tcW w:w="0" w:type="auto"/>
                            <w:tcBorders>
                              <w:top w:val="nil"/>
                              <w:left w:val="nil"/>
                              <w:bottom w:val="single" w:sz="4" w:space="0" w:color="auto"/>
                              <w:right w:val="single" w:sz="4" w:space="0" w:color="auto"/>
                            </w:tcBorders>
                            <w:shd w:val="clear" w:color="auto" w:fill="auto"/>
                            <w:noWrap/>
                            <w:hideMark/>
                          </w:tcPr>
                          <w:p w14:paraId="3F3EB1D0"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101 000 000</w:t>
                            </w:r>
                          </w:p>
                        </w:tc>
                      </w:tr>
                      <w:tr w:rsidR="002D45CF" w:rsidRPr="007A7C3A" w14:paraId="4EE174B5" w14:textId="77777777" w:rsidTr="00184A1B">
                        <w:tc>
                          <w:tcPr>
                            <w:tcW w:w="0" w:type="auto"/>
                            <w:tcBorders>
                              <w:top w:val="single" w:sz="4" w:space="0" w:color="000000"/>
                              <w:left w:val="single" w:sz="8" w:space="0" w:color="auto"/>
                              <w:bottom w:val="nil"/>
                              <w:right w:val="single" w:sz="4" w:space="0" w:color="000000"/>
                            </w:tcBorders>
                            <w:shd w:val="clear" w:color="auto" w:fill="auto"/>
                            <w:noWrap/>
                            <w:vAlign w:val="bottom"/>
                            <w:hideMark/>
                          </w:tcPr>
                          <w:p w14:paraId="049575E2" w14:textId="70F176D6"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single" w:sz="4" w:space="0" w:color="000000"/>
                              <w:left w:val="nil"/>
                              <w:bottom w:val="nil"/>
                              <w:right w:val="nil"/>
                            </w:tcBorders>
                            <w:shd w:val="clear" w:color="auto" w:fill="auto"/>
                            <w:noWrap/>
                            <w:vAlign w:val="bottom"/>
                            <w:hideMark/>
                          </w:tcPr>
                          <w:p w14:paraId="74D820D0" w14:textId="7A68EFDE"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c00</w:t>
                            </w:r>
                            <w:r w:rsidRPr="006550F9">
                              <w:rPr>
                                <w:rFonts w:eastAsia="Times New Roman" w:cs="Times New Roman"/>
                                <w:color w:val="000000"/>
                                <w:sz w:val="14"/>
                                <w:szCs w:val="16"/>
                                <w:lang w:val="en-GB" w:eastAsia="en-GB"/>
                              </w:rPr>
                              <w:t>3x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FB0DE"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31E0FE4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100 000 000</w:t>
                            </w:r>
                          </w:p>
                        </w:tc>
                        <w:tc>
                          <w:tcPr>
                            <w:tcW w:w="0" w:type="auto"/>
                            <w:tcBorders>
                              <w:top w:val="nil"/>
                              <w:left w:val="nil"/>
                              <w:bottom w:val="single" w:sz="4" w:space="0" w:color="auto"/>
                              <w:right w:val="single" w:sz="4" w:space="0" w:color="auto"/>
                            </w:tcBorders>
                            <w:shd w:val="clear" w:color="auto" w:fill="auto"/>
                            <w:noWrap/>
                            <w:vAlign w:val="bottom"/>
                            <w:hideMark/>
                          </w:tcPr>
                          <w:p w14:paraId="1F88BF05"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14:paraId="5C14DDA2"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30/06/2020</w:t>
                            </w:r>
                          </w:p>
                        </w:tc>
                        <w:tc>
                          <w:tcPr>
                            <w:tcW w:w="0" w:type="auto"/>
                            <w:tcBorders>
                              <w:top w:val="nil"/>
                              <w:left w:val="nil"/>
                              <w:bottom w:val="single" w:sz="4" w:space="0" w:color="auto"/>
                              <w:right w:val="single" w:sz="4" w:space="0" w:color="auto"/>
                            </w:tcBorders>
                            <w:shd w:val="clear" w:color="auto" w:fill="auto"/>
                            <w:noWrap/>
                            <w:vAlign w:val="bottom"/>
                            <w:hideMark/>
                          </w:tcPr>
                          <w:p w14:paraId="2787803F"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30/06/2020</w:t>
                            </w:r>
                          </w:p>
                        </w:tc>
                        <w:tc>
                          <w:tcPr>
                            <w:tcW w:w="0" w:type="auto"/>
                            <w:tcBorders>
                              <w:top w:val="nil"/>
                              <w:left w:val="nil"/>
                              <w:bottom w:val="single" w:sz="4" w:space="0" w:color="auto"/>
                              <w:right w:val="single" w:sz="4" w:space="0" w:color="auto"/>
                            </w:tcBorders>
                            <w:shd w:val="clear" w:color="auto" w:fill="auto"/>
                            <w:noWrap/>
                            <w:vAlign w:val="bottom"/>
                            <w:hideMark/>
                          </w:tcPr>
                          <w:p w14:paraId="144FB60C"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120 000 000</w:t>
                            </w:r>
                          </w:p>
                        </w:tc>
                        <w:tc>
                          <w:tcPr>
                            <w:tcW w:w="0" w:type="auto"/>
                            <w:tcBorders>
                              <w:top w:val="nil"/>
                              <w:left w:val="nil"/>
                              <w:bottom w:val="nil"/>
                              <w:right w:val="nil"/>
                            </w:tcBorders>
                            <w:shd w:val="clear" w:color="auto" w:fill="auto"/>
                            <w:noWrap/>
                            <w:vAlign w:val="bottom"/>
                            <w:hideMark/>
                          </w:tcPr>
                          <w:p w14:paraId="5107B6EF"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1E117"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-20 000 000</w:t>
                            </w:r>
                          </w:p>
                        </w:tc>
                        <w:tc>
                          <w:tcPr>
                            <w:tcW w:w="0" w:type="auto"/>
                            <w:tcBorders>
                              <w:top w:val="nil"/>
                              <w:left w:val="nil"/>
                              <w:bottom w:val="single" w:sz="4" w:space="0" w:color="auto"/>
                              <w:right w:val="single" w:sz="4" w:space="0" w:color="auto"/>
                            </w:tcBorders>
                            <w:shd w:val="clear" w:color="auto" w:fill="auto"/>
                            <w:noWrap/>
                            <w:hideMark/>
                          </w:tcPr>
                          <w:p w14:paraId="53250945"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0</w:t>
                            </w:r>
                          </w:p>
                        </w:tc>
                      </w:tr>
                      <w:tr w:rsidR="002D45CF" w:rsidRPr="007A7C3A" w14:paraId="13065C3F" w14:textId="77777777" w:rsidTr="00184A1B">
                        <w:tc>
                          <w:tcPr>
                            <w:tcW w:w="0" w:type="auto"/>
                            <w:tcBorders>
                              <w:top w:val="single" w:sz="4" w:space="0" w:color="000000"/>
                              <w:left w:val="single" w:sz="8" w:space="0" w:color="auto"/>
                              <w:bottom w:val="nil"/>
                              <w:right w:val="single" w:sz="4" w:space="0" w:color="000000"/>
                            </w:tcBorders>
                            <w:shd w:val="clear" w:color="auto" w:fill="auto"/>
                            <w:noWrap/>
                            <w:vAlign w:val="bottom"/>
                            <w:hideMark/>
                          </w:tcPr>
                          <w:p w14:paraId="3A471906" w14:textId="26C708DE"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single" w:sz="4" w:space="0" w:color="000000"/>
                              <w:left w:val="nil"/>
                              <w:bottom w:val="nil"/>
                              <w:right w:val="nil"/>
                            </w:tcBorders>
                            <w:shd w:val="clear" w:color="auto" w:fill="auto"/>
                            <w:noWrap/>
                            <w:vAlign w:val="bottom"/>
                            <w:hideMark/>
                          </w:tcPr>
                          <w:p w14:paraId="5497C9C7" w14:textId="3CABF1CF"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0x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4C5E3"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43C87333"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750 000 000</w:t>
                            </w:r>
                          </w:p>
                        </w:tc>
                        <w:tc>
                          <w:tcPr>
                            <w:tcW w:w="0" w:type="auto"/>
                            <w:tcBorders>
                              <w:top w:val="nil"/>
                              <w:left w:val="nil"/>
                              <w:bottom w:val="single" w:sz="4" w:space="0" w:color="auto"/>
                              <w:right w:val="single" w:sz="4" w:space="0" w:color="auto"/>
                            </w:tcBorders>
                            <w:shd w:val="clear" w:color="auto" w:fill="auto"/>
                            <w:noWrap/>
                            <w:vAlign w:val="bottom"/>
                            <w:hideMark/>
                          </w:tcPr>
                          <w:p w14:paraId="7BF84E4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1 500 000</w:t>
                            </w:r>
                          </w:p>
                        </w:tc>
                        <w:tc>
                          <w:tcPr>
                            <w:tcW w:w="0" w:type="auto"/>
                            <w:tcBorders>
                              <w:top w:val="nil"/>
                              <w:left w:val="nil"/>
                              <w:bottom w:val="single" w:sz="4" w:space="0" w:color="auto"/>
                              <w:right w:val="single" w:sz="4" w:space="0" w:color="auto"/>
                            </w:tcBorders>
                            <w:shd w:val="clear" w:color="auto" w:fill="auto"/>
                            <w:noWrap/>
                            <w:vAlign w:val="bottom"/>
                            <w:hideMark/>
                          </w:tcPr>
                          <w:p w14:paraId="7FE0096D"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18/12/2025</w:t>
                            </w:r>
                          </w:p>
                        </w:tc>
                        <w:tc>
                          <w:tcPr>
                            <w:tcW w:w="0" w:type="auto"/>
                            <w:tcBorders>
                              <w:top w:val="nil"/>
                              <w:left w:val="nil"/>
                              <w:bottom w:val="single" w:sz="4" w:space="0" w:color="auto"/>
                              <w:right w:val="single" w:sz="4" w:space="0" w:color="auto"/>
                            </w:tcBorders>
                            <w:shd w:val="clear" w:color="auto" w:fill="auto"/>
                            <w:noWrap/>
                            <w:vAlign w:val="bottom"/>
                            <w:hideMark/>
                          </w:tcPr>
                          <w:p w14:paraId="50D6A2B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18/12/2025</w:t>
                            </w:r>
                          </w:p>
                        </w:tc>
                        <w:tc>
                          <w:tcPr>
                            <w:tcW w:w="0" w:type="auto"/>
                            <w:tcBorders>
                              <w:top w:val="nil"/>
                              <w:left w:val="nil"/>
                              <w:bottom w:val="single" w:sz="4" w:space="0" w:color="auto"/>
                              <w:right w:val="single" w:sz="4" w:space="0" w:color="auto"/>
                            </w:tcBorders>
                            <w:shd w:val="clear" w:color="auto" w:fill="auto"/>
                            <w:noWrap/>
                            <w:vAlign w:val="bottom"/>
                            <w:hideMark/>
                          </w:tcPr>
                          <w:p w14:paraId="552E2E83"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700 000 000</w:t>
                            </w:r>
                          </w:p>
                        </w:tc>
                        <w:tc>
                          <w:tcPr>
                            <w:tcW w:w="0" w:type="auto"/>
                            <w:tcBorders>
                              <w:top w:val="nil"/>
                              <w:left w:val="nil"/>
                              <w:bottom w:val="nil"/>
                              <w:right w:val="nil"/>
                            </w:tcBorders>
                            <w:shd w:val="clear" w:color="auto" w:fill="auto"/>
                            <w:noWrap/>
                            <w:vAlign w:val="bottom"/>
                            <w:hideMark/>
                          </w:tcPr>
                          <w:p w14:paraId="67BB291C"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2508F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51 500 000</w:t>
                            </w:r>
                          </w:p>
                        </w:tc>
                        <w:tc>
                          <w:tcPr>
                            <w:tcW w:w="0" w:type="auto"/>
                            <w:tcBorders>
                              <w:top w:val="nil"/>
                              <w:left w:val="nil"/>
                              <w:bottom w:val="single" w:sz="4" w:space="0" w:color="auto"/>
                              <w:right w:val="single" w:sz="4" w:space="0" w:color="auto"/>
                            </w:tcBorders>
                            <w:shd w:val="clear" w:color="auto" w:fill="auto"/>
                            <w:noWrap/>
                            <w:hideMark/>
                          </w:tcPr>
                          <w:p w14:paraId="31D6A861"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51 500 000</w:t>
                            </w:r>
                          </w:p>
                        </w:tc>
                      </w:tr>
                      <w:tr w:rsidR="002D45CF" w:rsidRPr="007A7C3A" w14:paraId="13A69DA3" w14:textId="77777777" w:rsidTr="00184A1B">
                        <w:tc>
                          <w:tcPr>
                            <w:tcW w:w="0" w:type="auto"/>
                            <w:tcBorders>
                              <w:top w:val="single" w:sz="4" w:space="0" w:color="000000"/>
                              <w:left w:val="single" w:sz="8" w:space="0" w:color="auto"/>
                              <w:bottom w:val="nil"/>
                              <w:right w:val="single" w:sz="4" w:space="0" w:color="000000"/>
                            </w:tcBorders>
                            <w:shd w:val="clear" w:color="auto" w:fill="auto"/>
                            <w:noWrap/>
                            <w:vAlign w:val="bottom"/>
                            <w:hideMark/>
                          </w:tcPr>
                          <w:p w14:paraId="760D898A" w14:textId="2B685EC7"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single" w:sz="4" w:space="0" w:color="000000"/>
                              <w:left w:val="nil"/>
                              <w:bottom w:val="nil"/>
                              <w:right w:val="nil"/>
                            </w:tcBorders>
                            <w:shd w:val="clear" w:color="auto" w:fill="auto"/>
                            <w:noWrap/>
                            <w:vAlign w:val="bottom"/>
                            <w:hideMark/>
                          </w:tcPr>
                          <w:p w14:paraId="00627D3B" w14:textId="5E08C432"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0x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AEAEB"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69C312D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300 000 000</w:t>
                            </w:r>
                          </w:p>
                        </w:tc>
                        <w:tc>
                          <w:tcPr>
                            <w:tcW w:w="0" w:type="auto"/>
                            <w:tcBorders>
                              <w:top w:val="nil"/>
                              <w:left w:val="nil"/>
                              <w:bottom w:val="single" w:sz="4" w:space="0" w:color="auto"/>
                              <w:right w:val="single" w:sz="4" w:space="0" w:color="auto"/>
                            </w:tcBorders>
                            <w:shd w:val="clear" w:color="auto" w:fill="auto"/>
                            <w:noWrap/>
                            <w:vAlign w:val="bottom"/>
                            <w:hideMark/>
                          </w:tcPr>
                          <w:p w14:paraId="7BB67F52"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1 000 000</w:t>
                            </w:r>
                          </w:p>
                        </w:tc>
                        <w:tc>
                          <w:tcPr>
                            <w:tcW w:w="0" w:type="auto"/>
                            <w:tcBorders>
                              <w:top w:val="nil"/>
                              <w:left w:val="nil"/>
                              <w:bottom w:val="single" w:sz="4" w:space="0" w:color="auto"/>
                              <w:right w:val="single" w:sz="4" w:space="0" w:color="auto"/>
                            </w:tcBorders>
                            <w:shd w:val="clear" w:color="auto" w:fill="auto"/>
                            <w:noWrap/>
                            <w:vAlign w:val="bottom"/>
                            <w:hideMark/>
                          </w:tcPr>
                          <w:p w14:paraId="233F55F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30/09/2017</w:t>
                            </w:r>
                          </w:p>
                        </w:tc>
                        <w:tc>
                          <w:tcPr>
                            <w:tcW w:w="0" w:type="auto"/>
                            <w:tcBorders>
                              <w:top w:val="nil"/>
                              <w:left w:val="nil"/>
                              <w:bottom w:val="single" w:sz="4" w:space="0" w:color="auto"/>
                              <w:right w:val="single" w:sz="4" w:space="0" w:color="auto"/>
                            </w:tcBorders>
                            <w:shd w:val="clear" w:color="auto" w:fill="auto"/>
                            <w:noWrap/>
                            <w:vAlign w:val="bottom"/>
                            <w:hideMark/>
                          </w:tcPr>
                          <w:p w14:paraId="4FD2A5A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30/09/2017</w:t>
                            </w:r>
                          </w:p>
                        </w:tc>
                        <w:tc>
                          <w:tcPr>
                            <w:tcW w:w="0" w:type="auto"/>
                            <w:tcBorders>
                              <w:top w:val="nil"/>
                              <w:left w:val="nil"/>
                              <w:bottom w:val="single" w:sz="4" w:space="0" w:color="auto"/>
                              <w:right w:val="single" w:sz="4" w:space="0" w:color="auto"/>
                            </w:tcBorders>
                            <w:shd w:val="clear" w:color="auto" w:fill="auto"/>
                            <w:noWrap/>
                            <w:vAlign w:val="bottom"/>
                            <w:hideMark/>
                          </w:tcPr>
                          <w:p w14:paraId="5F29A9D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350 000 000</w:t>
                            </w:r>
                          </w:p>
                        </w:tc>
                        <w:tc>
                          <w:tcPr>
                            <w:tcW w:w="0" w:type="auto"/>
                            <w:tcBorders>
                              <w:top w:val="nil"/>
                              <w:left w:val="nil"/>
                              <w:bottom w:val="nil"/>
                              <w:right w:val="nil"/>
                            </w:tcBorders>
                            <w:shd w:val="clear" w:color="auto" w:fill="auto"/>
                            <w:noWrap/>
                            <w:vAlign w:val="bottom"/>
                            <w:hideMark/>
                          </w:tcPr>
                          <w:p w14:paraId="5C669E4F"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435C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-49 000 000</w:t>
                            </w:r>
                          </w:p>
                        </w:tc>
                        <w:tc>
                          <w:tcPr>
                            <w:tcW w:w="0" w:type="auto"/>
                            <w:tcBorders>
                              <w:top w:val="nil"/>
                              <w:left w:val="nil"/>
                              <w:bottom w:val="single" w:sz="4" w:space="0" w:color="auto"/>
                              <w:right w:val="single" w:sz="4" w:space="0" w:color="auto"/>
                            </w:tcBorders>
                            <w:shd w:val="clear" w:color="auto" w:fill="auto"/>
                            <w:noWrap/>
                            <w:hideMark/>
                          </w:tcPr>
                          <w:p w14:paraId="532027E0"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0</w:t>
                            </w:r>
                          </w:p>
                        </w:tc>
                      </w:tr>
                      <w:tr w:rsidR="002D45CF" w:rsidRPr="007A7C3A" w14:paraId="4410F17F" w14:textId="77777777" w:rsidTr="00184A1B">
                        <w:tc>
                          <w:tcPr>
                            <w:tcW w:w="0" w:type="auto"/>
                            <w:tcBorders>
                              <w:top w:val="single" w:sz="4" w:space="0" w:color="000000"/>
                              <w:left w:val="single" w:sz="8" w:space="0" w:color="auto"/>
                              <w:bottom w:val="single" w:sz="8" w:space="0" w:color="auto"/>
                              <w:right w:val="single" w:sz="4" w:space="0" w:color="000000"/>
                            </w:tcBorders>
                            <w:shd w:val="clear" w:color="auto" w:fill="auto"/>
                            <w:noWrap/>
                            <w:vAlign w:val="bottom"/>
                            <w:hideMark/>
                          </w:tcPr>
                          <w:p w14:paraId="79FA20D9" w14:textId="115B8C15"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r01</w:t>
                            </w:r>
                            <w:r w:rsidRPr="006550F9">
                              <w:rPr>
                                <w:rFonts w:eastAsia="Times New Roman" w:cs="Times New Roman"/>
                                <w:color w:val="000000"/>
                                <w:sz w:val="14"/>
                                <w:szCs w:val="16"/>
                                <w:lang w:val="en-GB" w:eastAsia="en-GB"/>
                              </w:rPr>
                              <w:t>20</w:t>
                            </w:r>
                          </w:p>
                        </w:tc>
                        <w:tc>
                          <w:tcPr>
                            <w:tcW w:w="0" w:type="auto"/>
                            <w:tcBorders>
                              <w:top w:val="single" w:sz="4" w:space="0" w:color="000000"/>
                              <w:left w:val="nil"/>
                              <w:bottom w:val="single" w:sz="8" w:space="0" w:color="auto"/>
                              <w:right w:val="nil"/>
                            </w:tcBorders>
                            <w:shd w:val="clear" w:color="auto" w:fill="auto"/>
                            <w:noWrap/>
                            <w:vAlign w:val="bottom"/>
                            <w:hideMark/>
                          </w:tcPr>
                          <w:p w14:paraId="0BCB0C3D" w14:textId="0019B3E9" w:rsidR="002D45CF" w:rsidRPr="006550F9" w:rsidRDefault="002D45CF" w:rsidP="00D43310">
                            <w:pPr>
                              <w:spacing w:line="240" w:lineRule="auto"/>
                              <w:jc w:val="left"/>
                              <w:rPr>
                                <w:rFonts w:eastAsia="Times New Roman" w:cs="Times New Roman"/>
                                <w:color w:val="000000"/>
                                <w:sz w:val="14"/>
                                <w:szCs w:val="16"/>
                                <w:lang w:val="en-GB" w:eastAsia="en-GB"/>
                              </w:rPr>
                            </w:pPr>
                            <w:r>
                              <w:rPr>
                                <w:rFonts w:eastAsia="Times New Roman" w:cs="Times New Roman"/>
                                <w:color w:val="000000"/>
                                <w:sz w:val="14"/>
                                <w:szCs w:val="16"/>
                                <w:lang w:val="en-GB" w:eastAsia="en-GB"/>
                              </w:rPr>
                              <w:t>c01</w:t>
                            </w:r>
                            <w:r w:rsidRPr="006550F9">
                              <w:rPr>
                                <w:rFonts w:eastAsia="Times New Roman" w:cs="Times New Roman"/>
                                <w:color w:val="000000"/>
                                <w:sz w:val="14"/>
                                <w:szCs w:val="16"/>
                                <w:lang w:val="en-GB" w:eastAsia="en-GB"/>
                              </w:rPr>
                              <w:t>0x</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126C1" w14:textId="77777777" w:rsidR="002D45CF" w:rsidRPr="006550F9" w:rsidRDefault="002D45CF" w:rsidP="00D43310">
                            <w:pPr>
                              <w:spacing w:line="240" w:lineRule="auto"/>
                              <w:jc w:val="lef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Secured Bond</w:t>
                            </w:r>
                          </w:p>
                        </w:tc>
                        <w:tc>
                          <w:tcPr>
                            <w:tcW w:w="0" w:type="auto"/>
                            <w:tcBorders>
                              <w:top w:val="nil"/>
                              <w:left w:val="nil"/>
                              <w:bottom w:val="single" w:sz="4" w:space="0" w:color="auto"/>
                              <w:right w:val="single" w:sz="4" w:space="0" w:color="auto"/>
                            </w:tcBorders>
                            <w:shd w:val="clear" w:color="auto" w:fill="auto"/>
                            <w:noWrap/>
                            <w:vAlign w:val="bottom"/>
                            <w:hideMark/>
                          </w:tcPr>
                          <w:p w14:paraId="4C585C21"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1 000 000 000</w:t>
                            </w:r>
                          </w:p>
                        </w:tc>
                        <w:tc>
                          <w:tcPr>
                            <w:tcW w:w="0" w:type="auto"/>
                            <w:tcBorders>
                              <w:top w:val="nil"/>
                              <w:left w:val="nil"/>
                              <w:bottom w:val="single" w:sz="4" w:space="0" w:color="auto"/>
                              <w:right w:val="single" w:sz="4" w:space="0" w:color="auto"/>
                            </w:tcBorders>
                            <w:shd w:val="clear" w:color="auto" w:fill="auto"/>
                            <w:noWrap/>
                            <w:vAlign w:val="bottom"/>
                            <w:hideMark/>
                          </w:tcPr>
                          <w:p w14:paraId="74D349A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10 000 000</w:t>
                            </w:r>
                          </w:p>
                        </w:tc>
                        <w:tc>
                          <w:tcPr>
                            <w:tcW w:w="0" w:type="auto"/>
                            <w:tcBorders>
                              <w:top w:val="nil"/>
                              <w:left w:val="nil"/>
                              <w:bottom w:val="single" w:sz="4" w:space="0" w:color="auto"/>
                              <w:right w:val="single" w:sz="4" w:space="0" w:color="auto"/>
                            </w:tcBorders>
                            <w:shd w:val="clear" w:color="auto" w:fill="auto"/>
                            <w:noWrap/>
                            <w:vAlign w:val="bottom"/>
                            <w:hideMark/>
                          </w:tcPr>
                          <w:p w14:paraId="68BDB2E8"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15/12/2025</w:t>
                            </w:r>
                          </w:p>
                        </w:tc>
                        <w:tc>
                          <w:tcPr>
                            <w:tcW w:w="0" w:type="auto"/>
                            <w:tcBorders>
                              <w:top w:val="nil"/>
                              <w:left w:val="nil"/>
                              <w:bottom w:val="single" w:sz="4" w:space="0" w:color="auto"/>
                              <w:right w:val="single" w:sz="4" w:space="0" w:color="auto"/>
                            </w:tcBorders>
                            <w:shd w:val="clear" w:color="auto" w:fill="auto"/>
                            <w:noWrap/>
                            <w:vAlign w:val="bottom"/>
                            <w:hideMark/>
                          </w:tcPr>
                          <w:p w14:paraId="5085584E"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15/12/2025</w:t>
                            </w:r>
                          </w:p>
                        </w:tc>
                        <w:tc>
                          <w:tcPr>
                            <w:tcW w:w="0" w:type="auto"/>
                            <w:tcBorders>
                              <w:top w:val="nil"/>
                              <w:left w:val="nil"/>
                              <w:bottom w:val="single" w:sz="4" w:space="0" w:color="auto"/>
                              <w:right w:val="single" w:sz="4" w:space="0" w:color="auto"/>
                            </w:tcBorders>
                            <w:shd w:val="clear" w:color="auto" w:fill="auto"/>
                            <w:noWrap/>
                            <w:vAlign w:val="bottom"/>
                            <w:hideMark/>
                          </w:tcPr>
                          <w:p w14:paraId="26998300"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900 000 000</w:t>
                            </w:r>
                          </w:p>
                        </w:tc>
                        <w:tc>
                          <w:tcPr>
                            <w:tcW w:w="0" w:type="auto"/>
                            <w:tcBorders>
                              <w:top w:val="nil"/>
                              <w:left w:val="nil"/>
                              <w:bottom w:val="nil"/>
                              <w:right w:val="nil"/>
                            </w:tcBorders>
                            <w:shd w:val="clear" w:color="auto" w:fill="auto"/>
                            <w:noWrap/>
                            <w:vAlign w:val="bottom"/>
                            <w:hideMark/>
                          </w:tcPr>
                          <w:p w14:paraId="6A436898"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08801"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rFonts w:eastAsia="Times New Roman" w:cs="Times New Roman"/>
                                <w:color w:val="000000"/>
                                <w:sz w:val="14"/>
                                <w:szCs w:val="16"/>
                                <w:lang w:val="en-GB" w:eastAsia="en-GB"/>
                              </w:rPr>
                              <w:t>110 000 000</w:t>
                            </w:r>
                          </w:p>
                        </w:tc>
                        <w:tc>
                          <w:tcPr>
                            <w:tcW w:w="0" w:type="auto"/>
                            <w:tcBorders>
                              <w:top w:val="nil"/>
                              <w:left w:val="nil"/>
                              <w:bottom w:val="nil"/>
                              <w:right w:val="single" w:sz="4" w:space="0" w:color="auto"/>
                            </w:tcBorders>
                            <w:shd w:val="clear" w:color="auto" w:fill="auto"/>
                            <w:noWrap/>
                            <w:hideMark/>
                          </w:tcPr>
                          <w:p w14:paraId="103E60B6"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110 000 000</w:t>
                            </w:r>
                          </w:p>
                        </w:tc>
                      </w:tr>
                      <w:tr w:rsidR="002D45CF" w:rsidRPr="007A7C3A" w14:paraId="1AA9F616" w14:textId="77777777" w:rsidTr="00184A1B">
                        <w:tc>
                          <w:tcPr>
                            <w:tcW w:w="0" w:type="auto"/>
                            <w:tcBorders>
                              <w:top w:val="nil"/>
                              <w:left w:val="nil"/>
                              <w:bottom w:val="nil"/>
                              <w:right w:val="nil"/>
                            </w:tcBorders>
                            <w:shd w:val="clear" w:color="auto" w:fill="auto"/>
                            <w:noWrap/>
                            <w:vAlign w:val="bottom"/>
                            <w:hideMark/>
                          </w:tcPr>
                          <w:p w14:paraId="590D64A2" w14:textId="77777777" w:rsidR="002D45CF" w:rsidRPr="006550F9" w:rsidRDefault="002D45CF" w:rsidP="00D43310">
                            <w:pPr>
                              <w:spacing w:line="240" w:lineRule="auto"/>
                              <w:jc w:val="right"/>
                              <w:rPr>
                                <w:rFonts w:eastAsia="Times New Roman" w:cs="Times New Roman"/>
                                <w:color w:val="000000"/>
                                <w:sz w:val="14"/>
                                <w:szCs w:val="16"/>
                                <w:lang w:val="en-GB" w:eastAsia="en-GB"/>
                              </w:rPr>
                            </w:pPr>
                          </w:p>
                        </w:tc>
                        <w:tc>
                          <w:tcPr>
                            <w:tcW w:w="0" w:type="auto"/>
                            <w:tcBorders>
                              <w:top w:val="nil"/>
                              <w:left w:val="nil"/>
                              <w:bottom w:val="nil"/>
                              <w:right w:val="nil"/>
                            </w:tcBorders>
                            <w:shd w:val="clear" w:color="auto" w:fill="auto"/>
                            <w:noWrap/>
                            <w:vAlign w:val="bottom"/>
                            <w:hideMark/>
                          </w:tcPr>
                          <w:p w14:paraId="71DA9056"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68E02C40"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B0E7A93"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58145BF"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B5DA366"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5252795D"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4106C19F"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3B3ECCA0"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nil"/>
                              <w:left w:val="nil"/>
                              <w:bottom w:val="nil"/>
                              <w:right w:val="nil"/>
                            </w:tcBorders>
                            <w:shd w:val="clear" w:color="auto" w:fill="auto"/>
                            <w:noWrap/>
                            <w:vAlign w:val="bottom"/>
                            <w:hideMark/>
                          </w:tcPr>
                          <w:p w14:paraId="733CE41F" w14:textId="77777777" w:rsidR="002D45CF" w:rsidRPr="006550F9" w:rsidRDefault="002D45CF" w:rsidP="00D43310">
                            <w:pPr>
                              <w:spacing w:line="240" w:lineRule="auto"/>
                              <w:jc w:val="left"/>
                              <w:rPr>
                                <w:rFonts w:eastAsia="Times New Roman" w:cs="Times New Roman"/>
                                <w:sz w:val="14"/>
                                <w:szCs w:val="16"/>
                                <w:lang w:val="en-GB" w:eastAsia="en-GB"/>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14:paraId="02087CD7" w14:textId="77777777" w:rsidR="002D45CF" w:rsidRPr="006550F9" w:rsidRDefault="002D45CF" w:rsidP="00D43310">
                            <w:pPr>
                              <w:spacing w:line="240" w:lineRule="auto"/>
                              <w:jc w:val="right"/>
                              <w:rPr>
                                <w:rFonts w:eastAsia="Times New Roman" w:cs="Times New Roman"/>
                                <w:color w:val="000000"/>
                                <w:sz w:val="14"/>
                                <w:szCs w:val="16"/>
                                <w:lang w:val="en-GB" w:eastAsia="en-GB"/>
                              </w:rPr>
                            </w:pPr>
                            <w:r w:rsidRPr="006550F9">
                              <w:rPr>
                                <w:sz w:val="14"/>
                              </w:rPr>
                              <w:t>262 500 000</w:t>
                            </w:r>
                          </w:p>
                        </w:tc>
                      </w:tr>
                    </w:tbl>
                    <w:p w14:paraId="05526365" w14:textId="77777777" w:rsidR="002D45CF" w:rsidRPr="00991041" w:rsidRDefault="002D45CF" w:rsidP="00984D67">
                      <w:pPr>
                        <w:rPr>
                          <w:lang w:val="en-GB"/>
                        </w:rPr>
                      </w:pPr>
                    </w:p>
                  </w:txbxContent>
                </v:textbox>
                <w10:wrap anchorx="margin"/>
              </v:shape>
            </w:pict>
          </mc:Fallback>
        </mc:AlternateContent>
      </w:r>
    </w:p>
    <w:p w14:paraId="3B38FE14" w14:textId="2540F245" w:rsidR="00984D67" w:rsidRDefault="00984D67" w:rsidP="00984D67">
      <w:pPr>
        <w:rPr>
          <w:lang w:val="en-GB"/>
        </w:rPr>
        <w:sectPr w:rsidR="00984D67" w:rsidSect="00054486">
          <w:pgSz w:w="16838" w:h="11906" w:orient="landscape"/>
          <w:pgMar w:top="1440" w:right="1440" w:bottom="1440" w:left="1440" w:header="709" w:footer="709" w:gutter="0"/>
          <w:cols w:space="708"/>
          <w:titlePg/>
          <w:docGrid w:linePitch="360"/>
        </w:sectPr>
      </w:pPr>
    </w:p>
    <w:p w14:paraId="17720CDE" w14:textId="77777777" w:rsidR="0051522D" w:rsidRDefault="0051522D" w:rsidP="00054486">
      <w:pPr>
        <w:spacing w:after="160" w:line="259" w:lineRule="auto"/>
        <w:jc w:val="left"/>
        <w:rPr>
          <w:lang w:val="en-GB"/>
        </w:rPr>
      </w:pPr>
    </w:p>
    <w:p w14:paraId="11B32A62" w14:textId="77777777" w:rsidR="00D30198" w:rsidRPr="00054486" w:rsidRDefault="00D30198" w:rsidP="00054486">
      <w:pPr>
        <w:rPr>
          <w:lang w:val="en-GB"/>
        </w:rPr>
      </w:pPr>
    </w:p>
    <w:p w14:paraId="37C76E07" w14:textId="3655CE4F" w:rsidR="0051522D" w:rsidRDefault="0051522D" w:rsidP="00054486">
      <w:pPr>
        <w:pStyle w:val="ListParagraph"/>
        <w:numPr>
          <w:ilvl w:val="1"/>
          <w:numId w:val="28"/>
        </w:numPr>
        <w:rPr>
          <w:lang w:val="en-GB"/>
        </w:rPr>
      </w:pPr>
      <w:r>
        <w:rPr>
          <w:lang w:val="en-GB"/>
        </w:rPr>
        <w:t>Plausibility checks</w:t>
      </w:r>
    </w:p>
    <w:tbl>
      <w:tblPr>
        <w:tblStyle w:val="TableGrid"/>
        <w:tblW w:w="9493" w:type="dxa"/>
        <w:tblLook w:val="04A0" w:firstRow="1" w:lastRow="0" w:firstColumn="1" w:lastColumn="0" w:noHBand="0" w:noVBand="1"/>
      </w:tblPr>
      <w:tblGrid>
        <w:gridCol w:w="988"/>
        <w:gridCol w:w="1420"/>
        <w:gridCol w:w="7085"/>
      </w:tblGrid>
      <w:tr w:rsidR="004E4834" w:rsidRPr="00E43D3D" w14:paraId="6AD6670A" w14:textId="77777777" w:rsidTr="004E4834">
        <w:trPr>
          <w:trHeight w:val="416"/>
        </w:trPr>
        <w:tc>
          <w:tcPr>
            <w:tcW w:w="988" w:type="dxa"/>
            <w:noWrap/>
            <w:hideMark/>
          </w:tcPr>
          <w:p w14:paraId="72E33C30"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LDR tab</w:t>
            </w:r>
          </w:p>
        </w:tc>
        <w:tc>
          <w:tcPr>
            <w:tcW w:w="1420" w:type="dxa"/>
            <w:noWrap/>
            <w:hideMark/>
          </w:tcPr>
          <w:p w14:paraId="1288E5E4"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 </w:t>
            </w:r>
          </w:p>
        </w:tc>
        <w:tc>
          <w:tcPr>
            <w:tcW w:w="7085" w:type="dxa"/>
            <w:noWrap/>
            <w:hideMark/>
          </w:tcPr>
          <w:p w14:paraId="28E81766" w14:textId="77777777" w:rsidR="0051522D" w:rsidRPr="00054486" w:rsidRDefault="0051522D" w:rsidP="0051522D">
            <w:pPr>
              <w:spacing w:after="160" w:line="259" w:lineRule="auto"/>
              <w:jc w:val="left"/>
              <w:rPr>
                <w:rFonts w:ascii="Cambria" w:hAnsi="Cambria"/>
                <w:b/>
                <w:bCs/>
                <w:sz w:val="18"/>
                <w:szCs w:val="18"/>
                <w:lang w:val="en-GB"/>
              </w:rPr>
            </w:pPr>
            <w:r w:rsidRPr="00054486">
              <w:rPr>
                <w:rFonts w:ascii="Cambria" w:hAnsi="Cambria"/>
                <w:b/>
                <w:bCs/>
                <w:sz w:val="18"/>
                <w:szCs w:val="18"/>
                <w:lang w:val="en-GB"/>
              </w:rPr>
              <w:t>Description of the</w:t>
            </w:r>
            <w:r w:rsidRPr="00054486">
              <w:rPr>
                <w:rFonts w:ascii="Cambria" w:hAnsi="Cambria"/>
                <w:b/>
                <w:bCs/>
                <w:sz w:val="18"/>
                <w:szCs w:val="18"/>
                <w:lang w:val="en-US"/>
              </w:rPr>
              <w:t xml:space="preserve"> plausibility</w:t>
            </w:r>
            <w:r w:rsidRPr="00054486">
              <w:rPr>
                <w:rFonts w:ascii="Cambria" w:hAnsi="Cambria"/>
                <w:b/>
                <w:bCs/>
                <w:sz w:val="18"/>
                <w:szCs w:val="18"/>
                <w:lang w:val="en-GB"/>
              </w:rPr>
              <w:t xml:space="preserve"> check</w:t>
            </w:r>
          </w:p>
        </w:tc>
      </w:tr>
      <w:tr w:rsidR="004E4834" w:rsidRPr="00E43D3D" w14:paraId="55DE0C00" w14:textId="77777777" w:rsidTr="004E4834">
        <w:trPr>
          <w:trHeight w:val="456"/>
        </w:trPr>
        <w:tc>
          <w:tcPr>
            <w:tcW w:w="988" w:type="dxa"/>
            <w:noWrap/>
            <w:hideMark/>
          </w:tcPr>
          <w:p w14:paraId="3E3BD34F"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T01.00</w:t>
            </w:r>
          </w:p>
        </w:tc>
        <w:tc>
          <w:tcPr>
            <w:tcW w:w="1420" w:type="dxa"/>
            <w:hideMark/>
          </w:tcPr>
          <w:p w14:paraId="18264E1A"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rPr>
              <w:t>Residual liabilities</w:t>
            </w:r>
          </w:p>
        </w:tc>
        <w:tc>
          <w:tcPr>
            <w:tcW w:w="7085" w:type="dxa"/>
            <w:hideMark/>
          </w:tcPr>
          <w:p w14:paraId="108EEB1A"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The institution should be able to provide a detailed description of what is reported in the category "residual liabilities" and the rationale of reporting in that category</w:t>
            </w:r>
          </w:p>
        </w:tc>
      </w:tr>
      <w:tr w:rsidR="004E4834" w:rsidRPr="00E43D3D" w14:paraId="0D2D2144" w14:textId="77777777" w:rsidTr="004E4834">
        <w:trPr>
          <w:trHeight w:val="456"/>
        </w:trPr>
        <w:tc>
          <w:tcPr>
            <w:tcW w:w="988" w:type="dxa"/>
            <w:noWrap/>
            <w:hideMark/>
          </w:tcPr>
          <w:p w14:paraId="427F47BF"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T01.00</w:t>
            </w:r>
          </w:p>
        </w:tc>
        <w:tc>
          <w:tcPr>
            <w:tcW w:w="1420" w:type="dxa"/>
            <w:hideMark/>
          </w:tcPr>
          <w:p w14:paraId="27F04BDF"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rPr>
              <w:t>Other MREL eligible liabilities</w:t>
            </w:r>
          </w:p>
        </w:tc>
        <w:tc>
          <w:tcPr>
            <w:tcW w:w="7085" w:type="dxa"/>
            <w:hideMark/>
          </w:tcPr>
          <w:p w14:paraId="489B698D"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The institution should be able to provide a detailed description of what is reported in the category "other MREL eligible liabilities" and the rationale of reporting in that category</w:t>
            </w:r>
          </w:p>
        </w:tc>
      </w:tr>
      <w:tr w:rsidR="004E4834" w:rsidRPr="004E4834" w14:paraId="7E1F61A9" w14:textId="77777777" w:rsidTr="00054486">
        <w:trPr>
          <w:trHeight w:val="782"/>
        </w:trPr>
        <w:tc>
          <w:tcPr>
            <w:tcW w:w="988" w:type="dxa"/>
            <w:noWrap/>
            <w:hideMark/>
          </w:tcPr>
          <w:p w14:paraId="1761D56B"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val="restart"/>
            <w:hideMark/>
          </w:tcPr>
          <w:p w14:paraId="1F4527B0"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rPr>
              <w:t>Combined buffer requirement</w:t>
            </w:r>
          </w:p>
        </w:tc>
        <w:tc>
          <w:tcPr>
            <w:tcW w:w="7085" w:type="dxa"/>
            <w:hideMark/>
          </w:tcPr>
          <w:p w14:paraId="3B105F28"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lang w:val="en-GB"/>
              </w:rPr>
              <w:t xml:space="preserve">Check whether the fully loaded combined buffer requirement is equivalent to the recalculated value based on the single components. </w:t>
            </w:r>
            <w:r w:rsidRPr="00054486">
              <w:rPr>
                <w:rFonts w:ascii="Cambria" w:hAnsi="Cambria"/>
                <w:sz w:val="18"/>
                <w:szCs w:val="18"/>
              </w:rPr>
              <w:t>(r0400 = r0410 + r0420 + max(r0430;max(r0440;r0450))</w:t>
            </w:r>
          </w:p>
        </w:tc>
      </w:tr>
      <w:tr w:rsidR="004E4834" w:rsidRPr="00E43D3D" w14:paraId="67FE3B23" w14:textId="77777777" w:rsidTr="004E4834">
        <w:trPr>
          <w:trHeight w:val="456"/>
        </w:trPr>
        <w:tc>
          <w:tcPr>
            <w:tcW w:w="988" w:type="dxa"/>
            <w:noWrap/>
            <w:hideMark/>
          </w:tcPr>
          <w:p w14:paraId="14F29253"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hideMark/>
          </w:tcPr>
          <w:p w14:paraId="38E42C6E" w14:textId="77777777" w:rsidR="0051522D" w:rsidRPr="00054486" w:rsidRDefault="0051522D" w:rsidP="0051522D">
            <w:pPr>
              <w:spacing w:after="160" w:line="259" w:lineRule="auto"/>
              <w:jc w:val="left"/>
              <w:rPr>
                <w:rFonts w:ascii="Cambria" w:hAnsi="Cambria"/>
                <w:sz w:val="18"/>
                <w:szCs w:val="18"/>
              </w:rPr>
            </w:pPr>
          </w:p>
        </w:tc>
        <w:tc>
          <w:tcPr>
            <w:tcW w:w="7085" w:type="dxa"/>
            <w:hideMark/>
          </w:tcPr>
          <w:p w14:paraId="24894D3B"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fully loaded combined buffer requirement is greater than or equal to the transitional value.</w:t>
            </w:r>
          </w:p>
        </w:tc>
      </w:tr>
      <w:tr w:rsidR="004E4834" w:rsidRPr="00E43D3D" w14:paraId="6E874A7F" w14:textId="77777777" w:rsidTr="004E4834">
        <w:trPr>
          <w:trHeight w:val="288"/>
        </w:trPr>
        <w:tc>
          <w:tcPr>
            <w:tcW w:w="988" w:type="dxa"/>
            <w:noWrap/>
            <w:hideMark/>
          </w:tcPr>
          <w:p w14:paraId="2935E481"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val="restart"/>
            <w:hideMark/>
          </w:tcPr>
          <w:p w14:paraId="138BE03D"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rPr>
              <w:t>Capital conservation buffer</w:t>
            </w:r>
          </w:p>
        </w:tc>
        <w:tc>
          <w:tcPr>
            <w:tcW w:w="7085" w:type="dxa"/>
            <w:hideMark/>
          </w:tcPr>
          <w:p w14:paraId="7826408D"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fully loaded capital conservation buffer (in % RWA) is equivalent to 2.5%.</w:t>
            </w:r>
          </w:p>
        </w:tc>
      </w:tr>
      <w:tr w:rsidR="004E4834" w:rsidRPr="00E43D3D" w14:paraId="1610C0E8" w14:textId="77777777" w:rsidTr="004E4834">
        <w:trPr>
          <w:trHeight w:val="456"/>
        </w:trPr>
        <w:tc>
          <w:tcPr>
            <w:tcW w:w="988" w:type="dxa"/>
            <w:noWrap/>
            <w:hideMark/>
          </w:tcPr>
          <w:p w14:paraId="5741CBEB"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hideMark/>
          </w:tcPr>
          <w:p w14:paraId="1238D1DD" w14:textId="77777777" w:rsidR="0051522D" w:rsidRPr="00054486" w:rsidRDefault="0051522D" w:rsidP="0051522D">
            <w:pPr>
              <w:spacing w:after="160" w:line="259" w:lineRule="auto"/>
              <w:jc w:val="left"/>
              <w:rPr>
                <w:rFonts w:ascii="Cambria" w:hAnsi="Cambria"/>
                <w:sz w:val="18"/>
                <w:szCs w:val="18"/>
              </w:rPr>
            </w:pPr>
          </w:p>
        </w:tc>
        <w:tc>
          <w:tcPr>
            <w:tcW w:w="7085" w:type="dxa"/>
            <w:hideMark/>
          </w:tcPr>
          <w:p w14:paraId="28D7B672"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fully loaded capital conservation buffer is greater than or equal to the transitional value.</w:t>
            </w:r>
          </w:p>
        </w:tc>
      </w:tr>
      <w:tr w:rsidR="004E4834" w:rsidRPr="00E43D3D" w14:paraId="40EEA033" w14:textId="77777777" w:rsidTr="004E4834">
        <w:trPr>
          <w:trHeight w:val="288"/>
        </w:trPr>
        <w:tc>
          <w:tcPr>
            <w:tcW w:w="988" w:type="dxa"/>
            <w:noWrap/>
            <w:hideMark/>
          </w:tcPr>
          <w:p w14:paraId="0104611F"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val="restart"/>
            <w:hideMark/>
          </w:tcPr>
          <w:p w14:paraId="200E870E"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rPr>
              <w:t>Countercyclical buffer</w:t>
            </w:r>
          </w:p>
        </w:tc>
        <w:tc>
          <w:tcPr>
            <w:tcW w:w="7085" w:type="dxa"/>
            <w:hideMark/>
          </w:tcPr>
          <w:p w14:paraId="685FDEAE"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countercyclical buffer (in % RWA) does not exceed 2.5% (CRD art. 130).</w:t>
            </w:r>
          </w:p>
        </w:tc>
      </w:tr>
      <w:tr w:rsidR="004E4834" w:rsidRPr="00E43D3D" w14:paraId="3E6813DE" w14:textId="77777777" w:rsidTr="004E4834">
        <w:trPr>
          <w:trHeight w:val="456"/>
        </w:trPr>
        <w:tc>
          <w:tcPr>
            <w:tcW w:w="988" w:type="dxa"/>
            <w:noWrap/>
            <w:hideMark/>
          </w:tcPr>
          <w:p w14:paraId="1D84A4BD" w14:textId="77777777" w:rsidR="0051522D" w:rsidRPr="00054486" w:rsidRDefault="0051522D" w:rsidP="0051522D">
            <w:pPr>
              <w:spacing w:after="160" w:line="259" w:lineRule="auto"/>
              <w:jc w:val="left"/>
              <w:rPr>
                <w:rFonts w:ascii="Cambria" w:hAnsi="Cambria"/>
                <w:b/>
                <w:bCs/>
                <w:sz w:val="18"/>
                <w:szCs w:val="18"/>
                <w:lang w:val="en-GB"/>
              </w:rPr>
            </w:pPr>
            <w:r w:rsidRPr="00054486">
              <w:rPr>
                <w:rFonts w:ascii="Cambria" w:hAnsi="Cambria"/>
                <w:b/>
                <w:bCs/>
                <w:sz w:val="18"/>
                <w:szCs w:val="18"/>
                <w:lang w:val="en-GB"/>
              </w:rPr>
              <w:t> </w:t>
            </w:r>
          </w:p>
        </w:tc>
        <w:tc>
          <w:tcPr>
            <w:tcW w:w="1420" w:type="dxa"/>
            <w:vMerge/>
            <w:hideMark/>
          </w:tcPr>
          <w:p w14:paraId="04B0A2D5" w14:textId="77777777" w:rsidR="0051522D" w:rsidRPr="00054486" w:rsidRDefault="0051522D" w:rsidP="0051522D">
            <w:pPr>
              <w:spacing w:after="160" w:line="259" w:lineRule="auto"/>
              <w:jc w:val="left"/>
              <w:rPr>
                <w:rFonts w:ascii="Cambria" w:hAnsi="Cambria"/>
                <w:sz w:val="18"/>
                <w:szCs w:val="18"/>
                <w:lang w:val="en-GB"/>
              </w:rPr>
            </w:pPr>
          </w:p>
        </w:tc>
        <w:tc>
          <w:tcPr>
            <w:tcW w:w="7085" w:type="dxa"/>
            <w:hideMark/>
          </w:tcPr>
          <w:p w14:paraId="07637363"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fully loaded institution-specific countercyclical capital buffer is greater than or equal to the transitional value.</w:t>
            </w:r>
          </w:p>
        </w:tc>
      </w:tr>
      <w:tr w:rsidR="004E4834" w:rsidRPr="00E43D3D" w14:paraId="5BE49794" w14:textId="77777777" w:rsidTr="004E4834">
        <w:trPr>
          <w:trHeight w:val="456"/>
        </w:trPr>
        <w:tc>
          <w:tcPr>
            <w:tcW w:w="988" w:type="dxa"/>
            <w:noWrap/>
            <w:hideMark/>
          </w:tcPr>
          <w:p w14:paraId="1378EDCF"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val="restart"/>
            <w:hideMark/>
          </w:tcPr>
          <w:p w14:paraId="2147D114"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rPr>
              <w:t>Systemic risk buffer</w:t>
            </w:r>
          </w:p>
        </w:tc>
        <w:tc>
          <w:tcPr>
            <w:tcW w:w="7085" w:type="dxa"/>
            <w:hideMark/>
          </w:tcPr>
          <w:p w14:paraId="5B2CAC8E"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that in the case a systemic risk buffer is applied the fully loaded systemic risk buffer (in % RWA) is at least 1%.</w:t>
            </w:r>
          </w:p>
        </w:tc>
      </w:tr>
      <w:tr w:rsidR="004E4834" w:rsidRPr="00E43D3D" w14:paraId="2A9825B5" w14:textId="77777777" w:rsidTr="004E4834">
        <w:trPr>
          <w:trHeight w:val="456"/>
        </w:trPr>
        <w:tc>
          <w:tcPr>
            <w:tcW w:w="988" w:type="dxa"/>
            <w:noWrap/>
            <w:hideMark/>
          </w:tcPr>
          <w:p w14:paraId="6B97FA5B"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hideMark/>
          </w:tcPr>
          <w:p w14:paraId="406C5CFC" w14:textId="77777777" w:rsidR="0051522D" w:rsidRPr="00054486" w:rsidRDefault="0051522D" w:rsidP="0051522D">
            <w:pPr>
              <w:spacing w:after="160" w:line="259" w:lineRule="auto"/>
              <w:jc w:val="left"/>
              <w:rPr>
                <w:rFonts w:ascii="Cambria" w:hAnsi="Cambria"/>
                <w:sz w:val="18"/>
                <w:szCs w:val="18"/>
              </w:rPr>
            </w:pPr>
          </w:p>
        </w:tc>
        <w:tc>
          <w:tcPr>
            <w:tcW w:w="7085" w:type="dxa"/>
            <w:hideMark/>
          </w:tcPr>
          <w:p w14:paraId="183806FE"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fully loaded systemic risk buffer (in % RWA) is greater than or equal to the transitional value.</w:t>
            </w:r>
          </w:p>
        </w:tc>
      </w:tr>
      <w:tr w:rsidR="004E4834" w:rsidRPr="00E43D3D" w14:paraId="67A2FCA6" w14:textId="77777777" w:rsidTr="004E4834">
        <w:trPr>
          <w:trHeight w:val="288"/>
        </w:trPr>
        <w:tc>
          <w:tcPr>
            <w:tcW w:w="988" w:type="dxa"/>
            <w:noWrap/>
            <w:hideMark/>
          </w:tcPr>
          <w:p w14:paraId="5FD1C61A"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val="restart"/>
            <w:hideMark/>
          </w:tcPr>
          <w:p w14:paraId="0DA9BC0C"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rPr>
              <w:t>G-SII buffer</w:t>
            </w:r>
          </w:p>
        </w:tc>
        <w:tc>
          <w:tcPr>
            <w:tcW w:w="7085" w:type="dxa"/>
            <w:hideMark/>
          </w:tcPr>
          <w:p w14:paraId="439FE1B7"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in the case the entity is a G-SII the fully loaded G-SII buffer is greater than 0</w:t>
            </w:r>
          </w:p>
        </w:tc>
      </w:tr>
      <w:tr w:rsidR="004E4834" w:rsidRPr="00E43D3D" w14:paraId="6038CEF0" w14:textId="77777777" w:rsidTr="004E4834">
        <w:trPr>
          <w:trHeight w:val="456"/>
        </w:trPr>
        <w:tc>
          <w:tcPr>
            <w:tcW w:w="988" w:type="dxa"/>
            <w:noWrap/>
            <w:hideMark/>
          </w:tcPr>
          <w:p w14:paraId="72C35DF8"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hideMark/>
          </w:tcPr>
          <w:p w14:paraId="4BF8E1FD" w14:textId="77777777" w:rsidR="0051522D" w:rsidRPr="00054486" w:rsidRDefault="0051522D" w:rsidP="0051522D">
            <w:pPr>
              <w:spacing w:after="160" w:line="259" w:lineRule="auto"/>
              <w:jc w:val="left"/>
              <w:rPr>
                <w:rFonts w:ascii="Cambria" w:hAnsi="Cambria"/>
                <w:sz w:val="18"/>
                <w:szCs w:val="18"/>
              </w:rPr>
            </w:pPr>
          </w:p>
        </w:tc>
        <w:tc>
          <w:tcPr>
            <w:tcW w:w="7085" w:type="dxa"/>
            <w:hideMark/>
          </w:tcPr>
          <w:p w14:paraId="26027A28"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G-SII buffer is equal to zero in the case the LDR has been submitted on an individual level</w:t>
            </w:r>
          </w:p>
        </w:tc>
      </w:tr>
      <w:tr w:rsidR="004E4834" w:rsidRPr="00E43D3D" w14:paraId="13CBEA77" w14:textId="77777777" w:rsidTr="004E4834">
        <w:trPr>
          <w:trHeight w:val="456"/>
        </w:trPr>
        <w:tc>
          <w:tcPr>
            <w:tcW w:w="988" w:type="dxa"/>
            <w:noWrap/>
            <w:hideMark/>
          </w:tcPr>
          <w:p w14:paraId="6DE4FD3E"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hideMark/>
          </w:tcPr>
          <w:p w14:paraId="04D42D83" w14:textId="77777777" w:rsidR="0051522D" w:rsidRPr="00054486" w:rsidRDefault="0051522D" w:rsidP="0051522D">
            <w:pPr>
              <w:spacing w:after="160" w:line="259" w:lineRule="auto"/>
              <w:jc w:val="left"/>
              <w:rPr>
                <w:rFonts w:ascii="Cambria" w:hAnsi="Cambria"/>
                <w:sz w:val="18"/>
                <w:szCs w:val="18"/>
              </w:rPr>
            </w:pPr>
          </w:p>
        </w:tc>
        <w:tc>
          <w:tcPr>
            <w:tcW w:w="7085" w:type="dxa"/>
            <w:hideMark/>
          </w:tcPr>
          <w:p w14:paraId="5AE2A2FA"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fully loaded G-SII buffer (in % RWA) is greater than or equal to the transitional value.</w:t>
            </w:r>
          </w:p>
        </w:tc>
      </w:tr>
      <w:tr w:rsidR="004E4834" w:rsidRPr="00E43D3D" w14:paraId="3E7AE897" w14:textId="77777777" w:rsidTr="004E4834">
        <w:trPr>
          <w:trHeight w:val="288"/>
        </w:trPr>
        <w:tc>
          <w:tcPr>
            <w:tcW w:w="988" w:type="dxa"/>
            <w:noWrap/>
            <w:hideMark/>
          </w:tcPr>
          <w:p w14:paraId="7F4B8D66" w14:textId="77777777" w:rsidR="0051522D" w:rsidRPr="00054486" w:rsidRDefault="0051522D" w:rsidP="0051522D">
            <w:pPr>
              <w:spacing w:after="160" w:line="259" w:lineRule="auto"/>
              <w:jc w:val="left"/>
              <w:rPr>
                <w:rFonts w:ascii="Cambria" w:hAnsi="Cambria"/>
                <w:b/>
                <w:bCs/>
                <w:sz w:val="18"/>
                <w:szCs w:val="18"/>
              </w:rPr>
            </w:pPr>
            <w:bookmarkStart w:id="248" w:name="_GoBack"/>
            <w:r w:rsidRPr="00054486">
              <w:rPr>
                <w:rFonts w:ascii="Cambria" w:hAnsi="Cambria"/>
                <w:b/>
                <w:bCs/>
                <w:sz w:val="18"/>
                <w:szCs w:val="18"/>
              </w:rPr>
              <w:t>T02.00</w:t>
            </w:r>
          </w:p>
        </w:tc>
        <w:tc>
          <w:tcPr>
            <w:tcW w:w="1420" w:type="dxa"/>
            <w:vMerge w:val="restart"/>
            <w:hideMark/>
          </w:tcPr>
          <w:p w14:paraId="107C8BED" w14:textId="77777777" w:rsidR="0051522D" w:rsidRPr="00054486" w:rsidRDefault="0051522D" w:rsidP="0051522D">
            <w:pPr>
              <w:spacing w:after="160" w:line="259" w:lineRule="auto"/>
              <w:jc w:val="left"/>
              <w:rPr>
                <w:rFonts w:ascii="Cambria" w:hAnsi="Cambria"/>
                <w:sz w:val="18"/>
                <w:szCs w:val="18"/>
              </w:rPr>
            </w:pPr>
            <w:r w:rsidRPr="00054486">
              <w:rPr>
                <w:rFonts w:ascii="Cambria" w:hAnsi="Cambria"/>
                <w:sz w:val="18"/>
                <w:szCs w:val="18"/>
              </w:rPr>
              <w:t>O-SII buffer</w:t>
            </w:r>
          </w:p>
        </w:tc>
        <w:tc>
          <w:tcPr>
            <w:tcW w:w="7085" w:type="dxa"/>
            <w:hideMark/>
          </w:tcPr>
          <w:p w14:paraId="1510BEF8" w14:textId="77777777"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fully loaded / transitional O-SII buffer (in % RWA) does not exceed 2%</w:t>
            </w:r>
          </w:p>
        </w:tc>
      </w:tr>
      <w:bookmarkEnd w:id="248"/>
      <w:tr w:rsidR="004E4834" w:rsidRPr="00E43D3D" w14:paraId="027BB01E" w14:textId="77777777" w:rsidTr="004E4834">
        <w:trPr>
          <w:trHeight w:val="456"/>
        </w:trPr>
        <w:tc>
          <w:tcPr>
            <w:tcW w:w="988" w:type="dxa"/>
            <w:noWrap/>
            <w:hideMark/>
          </w:tcPr>
          <w:p w14:paraId="0C39C10D" w14:textId="77777777" w:rsidR="0051522D" w:rsidRPr="00054486" w:rsidRDefault="0051522D" w:rsidP="0051522D">
            <w:pPr>
              <w:spacing w:after="160" w:line="259" w:lineRule="auto"/>
              <w:jc w:val="left"/>
              <w:rPr>
                <w:rFonts w:ascii="Cambria" w:hAnsi="Cambria"/>
                <w:b/>
                <w:bCs/>
                <w:sz w:val="18"/>
                <w:szCs w:val="18"/>
              </w:rPr>
            </w:pPr>
            <w:r w:rsidRPr="00054486">
              <w:rPr>
                <w:rFonts w:ascii="Cambria" w:hAnsi="Cambria"/>
                <w:b/>
                <w:bCs/>
                <w:sz w:val="18"/>
                <w:szCs w:val="18"/>
              </w:rPr>
              <w:t>T02.00</w:t>
            </w:r>
          </w:p>
        </w:tc>
        <w:tc>
          <w:tcPr>
            <w:tcW w:w="1420" w:type="dxa"/>
            <w:vMerge/>
            <w:hideMark/>
          </w:tcPr>
          <w:p w14:paraId="1EAFBB2F" w14:textId="77777777" w:rsidR="0051522D" w:rsidRPr="00054486" w:rsidRDefault="0051522D" w:rsidP="0051522D">
            <w:pPr>
              <w:spacing w:after="160" w:line="259" w:lineRule="auto"/>
              <w:jc w:val="left"/>
              <w:rPr>
                <w:rFonts w:ascii="Cambria" w:hAnsi="Cambria"/>
                <w:sz w:val="18"/>
                <w:szCs w:val="18"/>
              </w:rPr>
            </w:pPr>
          </w:p>
        </w:tc>
        <w:tc>
          <w:tcPr>
            <w:tcW w:w="7085" w:type="dxa"/>
            <w:hideMark/>
          </w:tcPr>
          <w:p w14:paraId="56ACBB09" w14:textId="6EAC1FD8" w:rsidR="0051522D" w:rsidRPr="00054486" w:rsidRDefault="0051522D" w:rsidP="0051522D">
            <w:pPr>
              <w:spacing w:after="160" w:line="259" w:lineRule="auto"/>
              <w:jc w:val="left"/>
              <w:rPr>
                <w:rFonts w:ascii="Cambria" w:hAnsi="Cambria"/>
                <w:sz w:val="18"/>
                <w:szCs w:val="18"/>
                <w:lang w:val="en-GB"/>
              </w:rPr>
            </w:pPr>
            <w:r w:rsidRPr="00054486">
              <w:rPr>
                <w:rFonts w:ascii="Cambria" w:hAnsi="Cambria"/>
                <w:sz w:val="18"/>
                <w:szCs w:val="18"/>
                <w:lang w:val="en-GB"/>
              </w:rPr>
              <w:t>Check whether the fully loaded O-SII buffer (in % RWA) is greater than or equal to the transitional value.</w:t>
            </w:r>
          </w:p>
        </w:tc>
      </w:tr>
    </w:tbl>
    <w:p w14:paraId="31501C4B" w14:textId="1844A590" w:rsidR="00560CA9" w:rsidRPr="00C243CD" w:rsidRDefault="00560CA9" w:rsidP="00054486">
      <w:pPr>
        <w:spacing w:after="160" w:line="259" w:lineRule="auto"/>
        <w:jc w:val="left"/>
        <w:rPr>
          <w:rFonts w:ascii="Cambria" w:hAnsi="Cambria"/>
          <w:sz w:val="24"/>
          <w:szCs w:val="24"/>
          <w:lang w:val="en-GB"/>
        </w:rPr>
      </w:pPr>
    </w:p>
    <w:p w14:paraId="395C31A2" w14:textId="0C75316E" w:rsidR="004B7427" w:rsidRDefault="004B7427">
      <w:pPr>
        <w:pStyle w:val="Heading1"/>
        <w:jc w:val="both"/>
        <w:rPr>
          <w:rFonts w:ascii="Cambria" w:hAnsi="Cambria"/>
          <w:lang w:val="en-GB"/>
        </w:rPr>
      </w:pPr>
    </w:p>
    <w:p w14:paraId="06F5FFAA" w14:textId="77777777" w:rsidR="004B7427" w:rsidRDefault="004B7427" w:rsidP="00054486">
      <w:pPr>
        <w:rPr>
          <w:rFonts w:eastAsiaTheme="majorEastAsia" w:cstheme="majorBidi"/>
          <w:sz w:val="32"/>
          <w:szCs w:val="32"/>
          <w:u w:val="single"/>
          <w:lang w:val="en-GB"/>
        </w:rPr>
      </w:pPr>
      <w:r>
        <w:rPr>
          <w:lang w:val="en-GB"/>
        </w:rPr>
        <w:br w:type="page"/>
      </w:r>
    </w:p>
    <w:p w14:paraId="1A355E73" w14:textId="77777777" w:rsidR="0071493A" w:rsidRDefault="0071493A" w:rsidP="00054486">
      <w:pPr>
        <w:pStyle w:val="Heading1"/>
        <w:jc w:val="both"/>
        <w:rPr>
          <w:rFonts w:ascii="Cambria" w:hAnsi="Cambria"/>
          <w:lang w:val="en-GB"/>
        </w:rPr>
      </w:pPr>
    </w:p>
    <w:p w14:paraId="08BD8B84" w14:textId="66E060E2" w:rsidR="001B08B4" w:rsidRPr="00C243CD" w:rsidRDefault="001B08B4" w:rsidP="00473699">
      <w:pPr>
        <w:pStyle w:val="Heading1"/>
        <w:rPr>
          <w:rFonts w:ascii="Cambria" w:hAnsi="Cambria"/>
          <w:lang w:val="en-GB"/>
        </w:rPr>
      </w:pPr>
      <w:bookmarkStart w:id="249" w:name="_Toc12973043"/>
      <w:bookmarkStart w:id="250" w:name="_Toc13755770"/>
      <w:r w:rsidRPr="00C243CD">
        <w:rPr>
          <w:rFonts w:ascii="Cambria" w:hAnsi="Cambria"/>
          <w:lang w:val="en-GB"/>
        </w:rPr>
        <w:t xml:space="preserve">Annex </w:t>
      </w:r>
      <w:r w:rsidR="00D9240A">
        <w:rPr>
          <w:rFonts w:ascii="Cambria" w:hAnsi="Cambria"/>
          <w:lang w:val="en-GB"/>
        </w:rPr>
        <w:t>4</w:t>
      </w:r>
      <w:r w:rsidR="00473699">
        <w:rPr>
          <w:rFonts w:ascii="Cambria" w:hAnsi="Cambria"/>
          <w:lang w:val="en-GB"/>
        </w:rPr>
        <w:t xml:space="preserve"> - </w:t>
      </w:r>
      <w:r w:rsidRPr="00C243CD">
        <w:rPr>
          <w:rFonts w:ascii="Cambria" w:hAnsi="Cambria"/>
          <w:lang w:val="en-GB"/>
        </w:rPr>
        <w:t>Insolvency ranking</w:t>
      </w:r>
      <w:bookmarkEnd w:id="249"/>
      <w:bookmarkEnd w:id="250"/>
    </w:p>
    <w:p w14:paraId="6A9DF854" w14:textId="77777777" w:rsidR="001B08B4" w:rsidRPr="00C243CD" w:rsidRDefault="001B08B4" w:rsidP="001B08B4">
      <w:pPr>
        <w:rPr>
          <w:rFonts w:ascii="Cambria" w:hAnsi="Cambria"/>
          <w:lang w:val="en-GB"/>
        </w:rPr>
      </w:pPr>
    </w:p>
    <w:p w14:paraId="494CA341" w14:textId="77334C06" w:rsidR="001B08B4" w:rsidRPr="00C243CD" w:rsidRDefault="001B08B4" w:rsidP="001B08B4">
      <w:pPr>
        <w:rPr>
          <w:rFonts w:ascii="Cambria" w:hAnsi="Cambria"/>
          <w:lang w:val="en-GB"/>
        </w:rPr>
      </w:pPr>
      <w:r w:rsidRPr="00C243CD">
        <w:rPr>
          <w:rFonts w:ascii="Cambria" w:hAnsi="Cambria"/>
          <w:lang w:val="en-GB"/>
        </w:rPr>
        <w:t>See separate document</w:t>
      </w:r>
      <w:r w:rsidR="00E94D8E" w:rsidRPr="00C243CD">
        <w:rPr>
          <w:rFonts w:ascii="Cambria" w:hAnsi="Cambria"/>
          <w:lang w:val="en-GB"/>
        </w:rPr>
        <w:t xml:space="preserve"> on </w:t>
      </w:r>
      <w:hyperlink r:id="rId72" w:history="1">
        <w:r w:rsidR="00E94D8E" w:rsidRPr="00C243CD">
          <w:rPr>
            <w:rStyle w:val="Hyperlink"/>
            <w:rFonts w:ascii="Cambria" w:hAnsi="Cambria"/>
            <w:lang w:val="en-GB"/>
          </w:rPr>
          <w:t>SRB website</w:t>
        </w:r>
      </w:hyperlink>
      <w:r w:rsidRPr="00C243CD">
        <w:rPr>
          <w:rFonts w:ascii="Cambria" w:hAnsi="Cambria"/>
          <w:lang w:val="en-GB"/>
        </w:rPr>
        <w:t>.</w:t>
      </w:r>
    </w:p>
    <w:p w14:paraId="1C1FCE4E" w14:textId="77777777" w:rsidR="001B08B4" w:rsidRPr="00C243CD" w:rsidRDefault="001B08B4" w:rsidP="006550F9">
      <w:pPr>
        <w:spacing w:after="160" w:line="259" w:lineRule="auto"/>
        <w:jc w:val="left"/>
        <w:rPr>
          <w:rFonts w:ascii="Cambria" w:hAnsi="Cambria"/>
          <w:lang w:val="en-GB"/>
        </w:rPr>
      </w:pPr>
    </w:p>
    <w:sectPr w:rsidR="001B08B4" w:rsidRPr="00C243CD" w:rsidSect="007025A8">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9" w:author="SRB" w:date="2019-07-09T09:43:00Z" w:initials="SRB">
    <w:p w14:paraId="0694787A" w14:textId="77777777" w:rsidR="002D45CF" w:rsidRDefault="002D45CF" w:rsidP="004A1962">
      <w:pPr>
        <w:pStyle w:val="CommentText"/>
      </w:pPr>
      <w:r>
        <w:rPr>
          <w:rStyle w:val="CommentReference"/>
        </w:rPr>
        <w:annotationRef/>
      </w:r>
      <w:r>
        <w:t>Previously “CSD”, changed as this should refer to the Settlement Finality Directive.</w:t>
      </w:r>
    </w:p>
    <w:p w14:paraId="556DB00A" w14:textId="6C074D37" w:rsidR="002D45CF" w:rsidRDefault="002D45CF">
      <w:pPr>
        <w:pStyle w:val="CommentText"/>
      </w:pPr>
    </w:p>
  </w:comment>
  <w:comment w:id="140" w:author="SRB" w:date="2019-07-09T09:43:00Z" w:initials="SRB">
    <w:p w14:paraId="1F8AFDA1" w14:textId="7AE5F153" w:rsidR="002D45CF" w:rsidRDefault="002D45CF">
      <w:pPr>
        <w:pStyle w:val="CommentText"/>
      </w:pPr>
      <w:r>
        <w:rPr>
          <w:rStyle w:val="CommentReference"/>
        </w:rPr>
        <w:annotationRef/>
      </w:r>
      <w:r>
        <w:t>Just added</w:t>
      </w:r>
    </w:p>
  </w:comment>
  <w:comment w:id="141" w:author="SRB" w:date="2019-07-09T09:43:00Z" w:initials="SRB">
    <w:p w14:paraId="4A8C4BC4" w14:textId="34571762" w:rsidR="002D45CF" w:rsidRDefault="002D45CF" w:rsidP="004A1962">
      <w:pPr>
        <w:pStyle w:val="CommentText"/>
      </w:pPr>
      <w:r>
        <w:rPr>
          <w:rStyle w:val="CommentReference"/>
        </w:rPr>
        <w:annotationRef/>
      </w:r>
      <w:r>
        <w:t>Just added, please check if correct. Does the outstanding amount correspond to COREP C01.00-030-010 + C01.00-130-010???</w:t>
      </w:r>
    </w:p>
    <w:p w14:paraId="73E26773" w14:textId="4FA7A8C8" w:rsidR="002D45CF" w:rsidRDefault="002D45CF">
      <w:pPr>
        <w:pStyle w:val="CommentText"/>
      </w:pPr>
    </w:p>
  </w:comment>
  <w:comment w:id="142" w:author="SRB" w:date="2019-07-09T09:44:00Z" w:initials="SRB">
    <w:p w14:paraId="178A05BF" w14:textId="694628E0" w:rsidR="002D45CF" w:rsidRDefault="002D45CF">
      <w:pPr>
        <w:pStyle w:val="CommentText"/>
      </w:pPr>
      <w:r>
        <w:rPr>
          <w:rStyle w:val="CommentReference"/>
        </w:rPr>
        <w:annotationRef/>
      </w:r>
      <w:r>
        <w:t>Open question: Does this correspond to Finrep F01.03-060-010 “</w:t>
      </w:r>
      <w:r w:rsidRPr="00B14542">
        <w:t>Equity instruments issued other than capital</w:t>
      </w:r>
      <w:r>
        <w:t>”? It has not been mapped like this by the EBA</w:t>
      </w:r>
    </w:p>
  </w:comment>
  <w:comment w:id="195" w:author="SRB" w:date="2019-07-09T09:44:00Z" w:initials="SRB">
    <w:p w14:paraId="71EC16B9" w14:textId="38A051B9" w:rsidR="002D45CF" w:rsidRDefault="002D45CF" w:rsidP="004A1962">
      <w:pPr>
        <w:pStyle w:val="CommentText"/>
      </w:pPr>
      <w:r>
        <w:rPr>
          <w:rStyle w:val="CommentReference"/>
        </w:rPr>
        <w:annotationRef/>
      </w:r>
      <w:r>
        <w:t xml:space="preserve">After requesting feedback on the end of the transitional period and the need to maintain this column, it was suggested that we maintain in the event that other transitional arrangements are requested either at national level or at EU level. </w:t>
      </w:r>
    </w:p>
    <w:p w14:paraId="31A61859" w14:textId="4C00EE9D" w:rsidR="002D45CF" w:rsidRDefault="002D45CF">
      <w:pPr>
        <w:pStyle w:val="CommentText"/>
      </w:pPr>
    </w:p>
  </w:comment>
  <w:comment w:id="198" w:author="SRB" w:date="2019-07-11T08:40:00Z" w:initials="SRB">
    <w:p w14:paraId="05133EA1" w14:textId="0C9635FA" w:rsidR="002D45CF" w:rsidRDefault="002D45CF">
      <w:pPr>
        <w:pStyle w:val="CommentText"/>
      </w:pPr>
      <w:r>
        <w:rPr>
          <w:rStyle w:val="CommentReference"/>
        </w:rPr>
        <w:annotationRef/>
      </w:r>
      <w:r>
        <w:t>Under article 1 BRRD, there are financial institutions that are not banks and that are not subject to art.12. Yet some will submit a LDR and they will have to populate this field (since “</w:t>
      </w:r>
      <w:r w:rsidRPr="005A42C4">
        <w:rPr>
          <w:lang w:val="en-GB"/>
        </w:rPr>
        <w:t xml:space="preserve">ALL </w:t>
      </w:r>
      <w:r>
        <w:rPr>
          <w:lang w:val="en-GB"/>
        </w:rPr>
        <w:t xml:space="preserve">fields in T02.00 must be filled”). It will be 0 as N/A is not be an option. </w:t>
      </w:r>
      <w:r>
        <w:t xml:space="preserve"> </w:t>
      </w:r>
    </w:p>
  </w:comment>
  <w:comment w:id="201" w:author="SRB" w:date="2019-07-09T09:44:00Z" w:initials="SRB">
    <w:p w14:paraId="7C5FFB60" w14:textId="3EB1EC86" w:rsidR="002D45CF" w:rsidRDefault="002D45CF" w:rsidP="004A1962">
      <w:pPr>
        <w:pStyle w:val="CommentText"/>
      </w:pPr>
      <w:r>
        <w:rPr>
          <w:rStyle w:val="CommentReference"/>
        </w:rPr>
        <w:annotationRef/>
      </w:r>
      <w:r>
        <w:t>For securities that are partially secured, there is an automated check between C0140 and C0150. As such, the system will flag as an error when the institution has chosen “unsecured”.?</w:t>
      </w:r>
    </w:p>
    <w:p w14:paraId="0F9872E6" w14:textId="667C8F43" w:rsidR="002D45CF" w:rsidRDefault="002D45CF">
      <w:pPr>
        <w:pStyle w:val="CommentText"/>
      </w:pPr>
    </w:p>
  </w:comment>
  <w:comment w:id="202" w:author="SRB" w:date="2019-07-09T09:45:00Z" w:initials="SRB">
    <w:p w14:paraId="70373267" w14:textId="54106BE9" w:rsidR="002D45CF" w:rsidRDefault="002D45CF" w:rsidP="004A1962">
      <w:pPr>
        <w:pStyle w:val="CommentText"/>
      </w:pPr>
      <w:r>
        <w:rPr>
          <w:rStyle w:val="CommentReference"/>
        </w:rPr>
        <w:annotationRef/>
      </w:r>
      <w:r>
        <w:t>This is a new field</w:t>
      </w:r>
      <w:r w:rsidR="00A97203">
        <w:t>.</w:t>
      </w:r>
      <w:r>
        <w:t xml:space="preserve"> The definition used here is the one from CIR 2018/1624 II.4.2 column 0080</w:t>
      </w:r>
      <w:r w:rsidR="00392ADE">
        <w:t xml:space="preserve">. </w:t>
      </w:r>
      <w:r w:rsidR="00392ADE">
        <w:t>Eligibility to be considered in light of published SRB policy.</w:t>
      </w:r>
    </w:p>
    <w:p w14:paraId="7CC9F4D4" w14:textId="6AC25609" w:rsidR="002D45CF" w:rsidRDefault="002D45CF">
      <w:pPr>
        <w:pStyle w:val="CommentText"/>
      </w:pPr>
    </w:p>
  </w:comment>
  <w:comment w:id="209" w:author="SRB" w:date="2019-07-09T09:46:00Z" w:initials="SRB">
    <w:p w14:paraId="5E043E4B" w14:textId="6018B336" w:rsidR="002D45CF" w:rsidRDefault="002D45CF">
      <w:pPr>
        <w:pStyle w:val="CommentText"/>
      </w:pPr>
      <w:r>
        <w:rPr>
          <w:rStyle w:val="CommentReference"/>
        </w:rPr>
        <w:annotationRef/>
      </w:r>
      <w:r>
        <w:t>This is a new field The definition used here is the one from CIR 201</w:t>
      </w:r>
      <w:r w:rsidR="00392ADE">
        <w:t>8/1624 II.4.2 column 0080. Eligibility to be considered in light of published SRB policy.</w:t>
      </w:r>
    </w:p>
  </w:comment>
  <w:comment w:id="212" w:author="SRB" w:date="2019-07-09T09:47:00Z" w:initials="SRB">
    <w:p w14:paraId="6CF4CAA9" w14:textId="02EFB18B" w:rsidR="002D45CF" w:rsidRDefault="002D45CF">
      <w:pPr>
        <w:pStyle w:val="CommentText"/>
      </w:pPr>
      <w:r>
        <w:rPr>
          <w:rStyle w:val="CommentReference"/>
        </w:rPr>
        <w:annotationRef/>
      </w:r>
      <w:r>
        <w:t>The aim is to collect all data on deposits (as opposed to only NC NP &gt;1year) in order to enable reconciliation with T01. However, to avoid the burden on banks to provide contract level data for all deposits, Covered and Preferred deposits, and all deposits &lt;1yr should be aggregated by counterparty.</w:t>
      </w:r>
      <w:r w:rsidR="00BF0205">
        <w:t xml:space="preserve"> See simplified example.</w:t>
      </w:r>
    </w:p>
  </w:comment>
  <w:comment w:id="215" w:author="SRB" w:date="2019-07-09T09:47:00Z" w:initials="SRB">
    <w:p w14:paraId="0EEE0E09" w14:textId="77777777" w:rsidR="002D45CF" w:rsidRDefault="002D45CF" w:rsidP="004A1962">
      <w:pPr>
        <w:pStyle w:val="CommentText"/>
      </w:pPr>
      <w:r>
        <w:rPr>
          <w:rStyle w:val="CommentReference"/>
        </w:rPr>
        <w:annotationRef/>
      </w:r>
      <w:r>
        <w:rPr>
          <w:rStyle w:val="CommentReference"/>
        </w:rPr>
        <w:annotationRef/>
      </w:r>
      <w:r>
        <w:t>This is a new field The definition used here is the one from CIR 2018/1624 II.4.2 column 0080</w:t>
      </w:r>
    </w:p>
    <w:p w14:paraId="620E7F85" w14:textId="613EFCB0" w:rsidR="002D45CF" w:rsidRDefault="002D45CF">
      <w:pPr>
        <w:pStyle w:val="CommentText"/>
      </w:pPr>
    </w:p>
  </w:comment>
  <w:comment w:id="222" w:author="SRB" w:date="2019-07-09T09:47:00Z" w:initials="SRB">
    <w:p w14:paraId="4656898C" w14:textId="3953B2FC" w:rsidR="002D45CF" w:rsidRDefault="002D45CF">
      <w:pPr>
        <w:pStyle w:val="CommentText"/>
      </w:pPr>
      <w:r>
        <w:rPr>
          <w:rStyle w:val="CommentReference"/>
        </w:rPr>
        <w:annotationRef/>
      </w:r>
      <w:r w:rsidR="008B2D27">
        <w:t>N.B.</w:t>
      </w:r>
      <w:r>
        <w:t xml:space="preserve"> this template includes secured liabilities regardless of the amount of collateral posted, i.e. including partly collateralized liabilities</w:t>
      </w:r>
      <w:r w:rsidR="008B2D27">
        <w:t>.</w:t>
      </w:r>
    </w:p>
  </w:comment>
  <w:comment w:id="227" w:author="SRB" w:date="2019-07-09T09:48:00Z" w:initials="SRB">
    <w:p w14:paraId="36D0DF43" w14:textId="3B6A9641" w:rsidR="002D45CF" w:rsidRDefault="002D45CF">
      <w:pPr>
        <w:pStyle w:val="CommentText"/>
      </w:pPr>
      <w:r>
        <w:rPr>
          <w:rStyle w:val="CommentReference"/>
        </w:rPr>
        <w:annotationRef/>
      </w:r>
      <w:r>
        <w:t xml:space="preserve">New field. </w:t>
      </w:r>
    </w:p>
  </w:comment>
  <w:comment w:id="236" w:author="SRB" w:date="2019-07-11T16:37:00Z" w:initials="SRB">
    <w:p w14:paraId="32165358" w14:textId="24199836" w:rsidR="00284343" w:rsidRDefault="00284343">
      <w:pPr>
        <w:pStyle w:val="CommentText"/>
      </w:pPr>
      <w:r>
        <w:rPr>
          <w:rStyle w:val="CommentReference"/>
        </w:rPr>
        <w:annotationRef/>
      </w:r>
      <w:r>
        <w:t xml:space="preserve">This is the same list as for 2019. </w:t>
      </w:r>
      <w:r>
        <w:t>Level 3 checks may</w:t>
      </w:r>
      <w:r>
        <w:t xml:space="preserve"> be updated based on lessons learned exercise to be carried out this summer.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6DB00A" w15:done="0"/>
  <w15:commentEx w15:paraId="1F8AFDA1" w15:done="0"/>
  <w15:commentEx w15:paraId="73E26773" w15:done="0"/>
  <w15:commentEx w15:paraId="178A05BF" w15:done="0"/>
  <w15:commentEx w15:paraId="31A61859" w15:done="0"/>
  <w15:commentEx w15:paraId="05133EA1" w15:done="0"/>
  <w15:commentEx w15:paraId="0F9872E6" w15:done="0"/>
  <w15:commentEx w15:paraId="7CC9F4D4" w15:done="0"/>
  <w15:commentEx w15:paraId="5E043E4B" w15:done="0"/>
  <w15:commentEx w15:paraId="6CF4CAA9" w15:done="0"/>
  <w15:commentEx w15:paraId="620E7F85" w15:done="0"/>
  <w15:commentEx w15:paraId="4656898C" w15:done="0"/>
  <w15:commentEx w15:paraId="36D0DF43" w15:done="0"/>
  <w15:commentEx w15:paraId="321653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BF603" w14:textId="77777777" w:rsidR="002D45CF" w:rsidRDefault="002D45CF" w:rsidP="002A0232">
      <w:pPr>
        <w:spacing w:line="240" w:lineRule="auto"/>
      </w:pPr>
      <w:r>
        <w:separator/>
      </w:r>
    </w:p>
  </w:endnote>
  <w:endnote w:type="continuationSeparator" w:id="0">
    <w:p w14:paraId="7DC0A49D" w14:textId="77777777" w:rsidR="002D45CF" w:rsidRDefault="002D45CF" w:rsidP="002A0232">
      <w:pPr>
        <w:spacing w:line="240" w:lineRule="auto"/>
      </w:pPr>
      <w:r>
        <w:continuationSeparator/>
      </w:r>
    </w:p>
  </w:endnote>
  <w:endnote w:type="continuationNotice" w:id="1">
    <w:p w14:paraId="320AC3BE" w14:textId="77777777" w:rsidR="002D45CF" w:rsidRDefault="002D45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BD13" w14:textId="43112BE4" w:rsidR="002D45CF" w:rsidRPr="00D00511" w:rsidRDefault="002D45CF" w:rsidP="00D00511">
    <w:pPr>
      <w:pStyle w:val="Footer"/>
      <w:tabs>
        <w:tab w:val="clear" w:pos="4513"/>
        <w:tab w:val="clear" w:pos="9026"/>
      </w:tabs>
    </w:pPr>
    <w:r w:rsidRPr="001D5756">
      <w:rPr>
        <w:sz w:val="16"/>
      </w:rPr>
      <w:t xml:space="preserve">Version </w:t>
    </w:r>
    <w:r>
      <w:rPr>
        <w:sz w:val="16"/>
      </w:rPr>
      <w:t xml:space="preserve">Draft </w:t>
    </w:r>
    <w:r w:rsidR="00E43D3D">
      <w:rPr>
        <w:sz w:val="16"/>
      </w:rPr>
      <w:t>12.07.</w:t>
    </w:r>
    <w:r>
      <w:rPr>
        <w:sz w:val="16"/>
      </w:rPr>
      <w:t>2019</w:t>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E43D3D">
      <w:rPr>
        <w:b/>
        <w:bCs/>
        <w:noProof/>
      </w:rPr>
      <w:t>74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43D3D">
      <w:rPr>
        <w:b/>
        <w:bCs/>
        <w:noProof/>
      </w:rPr>
      <w:t>77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6E72" w14:textId="77777777" w:rsidR="002D45CF" w:rsidRDefault="002D45CF">
    <w:pPr>
      <w:pStyle w:val="Footer"/>
      <w:jc w:val="right"/>
    </w:pPr>
  </w:p>
  <w:p w14:paraId="55E0D78A" w14:textId="504E40ED" w:rsidR="002D45CF" w:rsidRDefault="002D45CF" w:rsidP="00D00511">
    <w:pPr>
      <w:pStyle w:val="Footer"/>
      <w:tabs>
        <w:tab w:val="clear" w:pos="4513"/>
        <w:tab w:val="clear" w:pos="9026"/>
      </w:tabs>
    </w:pPr>
    <w:r w:rsidRPr="001D5756">
      <w:rPr>
        <w:sz w:val="16"/>
      </w:rPr>
      <w:t xml:space="preserve">Version </w:t>
    </w:r>
    <w:r>
      <w:rPr>
        <w:sz w:val="16"/>
      </w:rPr>
      <w:t xml:space="preserve">Draft </w:t>
    </w:r>
    <w:r w:rsidR="00E43D3D">
      <w:rPr>
        <w:sz w:val="16"/>
      </w:rPr>
      <w:t>12</w:t>
    </w:r>
    <w:r>
      <w:rPr>
        <w:sz w:val="16"/>
      </w:rPr>
      <w:t>.07 2019</w:t>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E43D3D">
      <w:rPr>
        <w:b/>
        <w:bCs/>
        <w:noProof/>
      </w:rPr>
      <w:t>77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43D3D">
      <w:rPr>
        <w:b/>
        <w:bCs/>
        <w:noProof/>
      </w:rPr>
      <w:t>77</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AB3D" w14:textId="77777777" w:rsidR="002D45CF" w:rsidRDefault="002D45CF" w:rsidP="000669BE">
    <w:pPr>
      <w:pStyle w:val="Footer"/>
      <w:jc w:val="right"/>
    </w:pPr>
  </w:p>
  <w:p w14:paraId="19001A4E" w14:textId="15E898CB" w:rsidR="002D45CF" w:rsidRDefault="002D45CF" w:rsidP="00D00511">
    <w:pPr>
      <w:pStyle w:val="Footer"/>
      <w:tabs>
        <w:tab w:val="clear" w:pos="4513"/>
        <w:tab w:val="clear" w:pos="9026"/>
      </w:tabs>
    </w:pPr>
    <w:r w:rsidRPr="001D5756">
      <w:rPr>
        <w:sz w:val="16"/>
      </w:rPr>
      <w:t xml:space="preserve">Version </w:t>
    </w:r>
    <w:r>
      <w:rPr>
        <w:sz w:val="16"/>
      </w:rPr>
      <w:t xml:space="preserve">Draft </w:t>
    </w:r>
    <w:r w:rsidR="00E43D3D">
      <w:rPr>
        <w:sz w:val="16"/>
      </w:rPr>
      <w:t>12.07.</w:t>
    </w:r>
    <w:r>
      <w:rPr>
        <w:sz w:val="16"/>
      </w:rPr>
      <w:t xml:space="preserve">2019 </w:t>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E43D3D">
      <w:rPr>
        <w:b/>
        <w:bCs/>
        <w:noProof/>
      </w:rPr>
      <w:t>75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43D3D">
      <w:rPr>
        <w:b/>
        <w:bCs/>
        <w:noProof/>
      </w:rPr>
      <w:t>77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468F6" w14:textId="77777777" w:rsidR="002D45CF" w:rsidRDefault="002D45CF" w:rsidP="002A0232">
      <w:pPr>
        <w:spacing w:line="240" w:lineRule="auto"/>
      </w:pPr>
      <w:r>
        <w:separator/>
      </w:r>
    </w:p>
  </w:footnote>
  <w:footnote w:type="continuationSeparator" w:id="0">
    <w:p w14:paraId="7E371049" w14:textId="77777777" w:rsidR="002D45CF" w:rsidRDefault="002D45CF" w:rsidP="002A0232">
      <w:pPr>
        <w:spacing w:line="240" w:lineRule="auto"/>
      </w:pPr>
      <w:r>
        <w:continuationSeparator/>
      </w:r>
    </w:p>
  </w:footnote>
  <w:footnote w:type="continuationNotice" w:id="1">
    <w:p w14:paraId="3291736B" w14:textId="77777777" w:rsidR="002D45CF" w:rsidRDefault="002D45CF">
      <w:pPr>
        <w:spacing w:line="240" w:lineRule="auto"/>
      </w:pPr>
    </w:p>
  </w:footnote>
  <w:footnote w:id="2">
    <w:p w14:paraId="687BBC8F" w14:textId="13D802C4" w:rsidR="002D45CF" w:rsidRPr="00A605CD" w:rsidRDefault="002D45CF">
      <w:pPr>
        <w:pStyle w:val="FootnoteText"/>
      </w:pPr>
      <w:r>
        <w:rPr>
          <w:rStyle w:val="FootnoteReference"/>
        </w:rPr>
        <w:footnoteRef/>
      </w:r>
      <w:r>
        <w:t xml:space="preserve"> COREP (C02.00-010-010)</w:t>
      </w:r>
    </w:p>
  </w:footnote>
  <w:footnote w:id="3">
    <w:p w14:paraId="6DFDAB9D" w14:textId="77777777" w:rsidR="002D45CF" w:rsidRPr="00A605CD" w:rsidRDefault="002D45CF">
      <w:pPr>
        <w:pStyle w:val="FootnoteText"/>
      </w:pPr>
      <w:r>
        <w:rPr>
          <w:rStyle w:val="FootnoteReference"/>
        </w:rPr>
        <w:footnoteRef/>
      </w:r>
      <w:r>
        <w:t xml:space="preserve"> COREP (</w:t>
      </w:r>
      <w:r w:rsidRPr="00A605CD">
        <w:t>C47.00-290-010</w:t>
      </w:r>
      <w:r>
        <w:t>)</w:t>
      </w:r>
    </w:p>
  </w:footnote>
  <w:footnote w:id="4">
    <w:p w14:paraId="37AD94EE" w14:textId="77777777" w:rsidR="002D45CF" w:rsidRPr="00A605CD" w:rsidRDefault="002D45CF">
      <w:pPr>
        <w:pStyle w:val="FootnoteText"/>
      </w:pPr>
      <w:r>
        <w:rPr>
          <w:rStyle w:val="FootnoteReference"/>
        </w:rPr>
        <w:footnoteRef/>
      </w:r>
      <w:r>
        <w:t xml:space="preserve"> FINREP (F02.00-355-010)</w:t>
      </w:r>
    </w:p>
  </w:footnote>
  <w:footnote w:id="5">
    <w:p w14:paraId="193741B5" w14:textId="77777777" w:rsidR="002D45CF" w:rsidRPr="00AD63F5" w:rsidRDefault="002D45CF" w:rsidP="005778F1">
      <w:pPr>
        <w:pStyle w:val="FootnoteText"/>
      </w:pPr>
      <w:r>
        <w:rPr>
          <w:rStyle w:val="FootnoteReference"/>
        </w:rPr>
        <w:footnoteRef/>
      </w:r>
      <w:r>
        <w:t xml:space="preserve"> A practical example to apply this approach is provided under Annex 2.</w:t>
      </w:r>
    </w:p>
  </w:footnote>
  <w:footnote w:id="6">
    <w:p w14:paraId="77E08F06" w14:textId="77777777" w:rsidR="002D45CF" w:rsidRPr="0041717E" w:rsidRDefault="002D45CF">
      <w:pPr>
        <w:pStyle w:val="FootnoteText"/>
      </w:pPr>
      <w:r>
        <w:rPr>
          <w:rStyle w:val="FootnoteReference"/>
        </w:rPr>
        <w:footnoteRef/>
      </w:r>
      <w:r>
        <w:t xml:space="preserve"> Published on the EBA website 16 April 2017. For liability reporting, the EBA requests the data in the SRB’s T01.00 (EBA: Z 02.00) and T02.00 (EBA: Z 03.00).</w:t>
      </w:r>
    </w:p>
  </w:footnote>
  <w:footnote w:id="7">
    <w:p w14:paraId="7CDBC3F3" w14:textId="77777777" w:rsidR="002D45CF" w:rsidRPr="00E51B12" w:rsidRDefault="002D45CF" w:rsidP="00045639">
      <w:pPr>
        <w:pStyle w:val="FootnoteText"/>
        <w:rPr>
          <w:lang w:val="en-GB"/>
        </w:rPr>
      </w:pPr>
      <w:r>
        <w:rPr>
          <w:rStyle w:val="FootnoteReference"/>
        </w:rPr>
        <w:footnoteRef/>
      </w:r>
      <w:r>
        <w:t xml:space="preserve"> </w:t>
      </w:r>
      <w:r w:rsidRPr="00E51B12">
        <w:rPr>
          <w:lang w:val="en-GB"/>
        </w:rPr>
        <w:t>With reference to IFRS</w:t>
      </w:r>
      <w:r>
        <w:rPr>
          <w:lang w:val="en-GB"/>
        </w:rPr>
        <w:t>, a divergence between carrying and outstanding amount would mainly occur when a liability gets valued on a fair value basis. While the variation is included in the accounting equity, it can or cannot be (partly) filtered for own funds purposes. Furthermore, being able to identify the value of a liability in insolvency is crucial for resolution purposes in light of the NCWO principle, irrespective of its accounting treatment. The latter is indeed not opposable/enforceable to creditors.</w:t>
      </w:r>
    </w:p>
  </w:footnote>
  <w:footnote w:id="8">
    <w:p w14:paraId="15F93B57" w14:textId="77777777" w:rsidR="002D45CF" w:rsidRPr="00B71D0E" w:rsidRDefault="002D45CF">
      <w:pPr>
        <w:pStyle w:val="FootnoteText"/>
      </w:pPr>
      <w:r>
        <w:rPr>
          <w:rStyle w:val="FootnoteReference"/>
        </w:rPr>
        <w:footnoteRef/>
      </w:r>
      <w:r>
        <w:t xml:space="preserve"> A specific treatment is reserved for derivatives, as described in section 2 of part 2.</w:t>
      </w:r>
    </w:p>
  </w:footnote>
  <w:footnote w:id="9">
    <w:p w14:paraId="65032FE4" w14:textId="77777777" w:rsidR="002D45CF" w:rsidRPr="007C54D2" w:rsidRDefault="002D45CF" w:rsidP="00D649F0">
      <w:pPr>
        <w:pStyle w:val="FootnoteText"/>
        <w:rPr>
          <w:lang w:val="en-GB"/>
        </w:rPr>
      </w:pPr>
      <w:r>
        <w:rPr>
          <w:rStyle w:val="FootnoteReference"/>
        </w:rPr>
        <w:footnoteRef/>
      </w:r>
      <w:r>
        <w:t xml:space="preserve"> </w:t>
      </w:r>
      <w:r w:rsidRPr="00713386">
        <w:t>For a definition of exchange platforms, reference is made to Directive 2014/65/EU of the European Parliament and of the Council of 15 May 2014 on markets in financial instruments.</w:t>
      </w:r>
    </w:p>
  </w:footnote>
  <w:footnote w:id="10">
    <w:p w14:paraId="0B1ABA4A" w14:textId="77777777" w:rsidR="002D45CF" w:rsidRPr="00B27610" w:rsidRDefault="002D45CF">
      <w:pPr>
        <w:pStyle w:val="FootnoteText"/>
        <w:rPr>
          <w:lang w:val="en-GB"/>
        </w:rPr>
      </w:pPr>
      <w:r>
        <w:rPr>
          <w:rStyle w:val="FootnoteReference"/>
        </w:rPr>
        <w:footnoteRef/>
      </w:r>
      <w:r>
        <w:t xml:space="preserve"> </w:t>
      </w:r>
      <w:r>
        <w:rPr>
          <w:lang w:val="en-GB"/>
        </w:rPr>
        <w:t>Throughout the report, deposits should be identified based on the definition provided by under article 2 (1) (3) of the DGSD.</w:t>
      </w:r>
    </w:p>
  </w:footnote>
  <w:footnote w:id="11">
    <w:p w14:paraId="32D29510" w14:textId="77777777" w:rsidR="002D45CF" w:rsidRPr="009E7FAA" w:rsidRDefault="002D45CF">
      <w:pPr>
        <w:pStyle w:val="FootnoteText"/>
      </w:pPr>
      <w:r>
        <w:rPr>
          <w:rStyle w:val="FootnoteReference"/>
        </w:rPr>
        <w:footnoteRef/>
      </w:r>
      <w:r>
        <w:t xml:space="preserve"> Consistently with the </w:t>
      </w:r>
      <w:r w:rsidRPr="009E7FAA">
        <w:t xml:space="preserve">EBA Opinion on issues related to the departure of the UK from the </w:t>
      </w:r>
      <w:r>
        <w:t>EU (EBA/Op/2017/12), par. 24(k) that</w:t>
      </w:r>
      <w:r w:rsidRPr="009E7FAA">
        <w:t xml:space="preserve"> incites resolution authorities to “</w:t>
      </w:r>
      <w:r w:rsidRPr="006550F9">
        <w:rPr>
          <w:i/>
        </w:rPr>
        <w:t>mitigate the risk that the use of their powers will not automatically be recognised by the UK courts, for instance through requiring the inclusion of resolution action recognition clauses in contracts governed by English law</w:t>
      </w:r>
      <w:r w:rsidRPr="009E7FAA">
        <w:t>”</w:t>
      </w:r>
      <w:r>
        <w:t>.</w:t>
      </w:r>
    </w:p>
  </w:footnote>
  <w:footnote w:id="12">
    <w:p w14:paraId="53AD50EA" w14:textId="77777777" w:rsidR="002D45CF" w:rsidRPr="00935A83" w:rsidRDefault="002D45CF">
      <w:pPr>
        <w:pStyle w:val="FootnoteText"/>
      </w:pPr>
      <w:r>
        <w:rPr>
          <w:rStyle w:val="FootnoteReference"/>
        </w:rPr>
        <w:footnoteRef/>
      </w:r>
      <w:r>
        <w:t xml:space="preserve"> Non-standard terms refers to contractual terms which could affect the nature, maturity, etc. of the contract. Examples of such non-standard terms are material adverse change (MAC) clauses, call-options with step-up, etc.</w:t>
      </w:r>
    </w:p>
  </w:footnote>
  <w:footnote w:id="13">
    <w:p w14:paraId="3B061380" w14:textId="77777777" w:rsidR="002D45CF" w:rsidRPr="009E7FAA" w:rsidRDefault="002D45CF" w:rsidP="009E7FAA">
      <w:pPr>
        <w:pStyle w:val="FootnoteText"/>
      </w:pPr>
      <w:r>
        <w:rPr>
          <w:rStyle w:val="FootnoteReference"/>
        </w:rPr>
        <w:footnoteRef/>
      </w:r>
      <w:r>
        <w:t xml:space="preserve"> Consistently with the </w:t>
      </w:r>
      <w:r w:rsidRPr="009E7FAA">
        <w:t xml:space="preserve">EBA Opinion on issues related to the departure of the UK from the </w:t>
      </w:r>
      <w:r>
        <w:t>EU (EBA/Op/2017/12), par. 24(k) that</w:t>
      </w:r>
      <w:r w:rsidRPr="009E7FAA">
        <w:t xml:space="preserve"> incites resolution authorities to “</w:t>
      </w:r>
      <w:r w:rsidRPr="00AF1D10">
        <w:rPr>
          <w:i/>
        </w:rPr>
        <w:t>mitigate the risk that the use of their powers will not automatically be recognised by the UK courts, for instance through requiring the inclusion of resolution action recognition clauses in contracts governed by English law</w:t>
      </w:r>
      <w:r w:rsidRPr="009E7FAA">
        <w:t>”</w:t>
      </w:r>
      <w:r>
        <w:t>.</w:t>
      </w:r>
    </w:p>
  </w:footnote>
  <w:footnote w:id="14">
    <w:p w14:paraId="7326DDF4" w14:textId="1F6A2D65" w:rsidR="002D45CF" w:rsidRPr="002B0BF8" w:rsidRDefault="002D45CF">
      <w:pPr>
        <w:pStyle w:val="FootnoteText"/>
      </w:pPr>
      <w:r>
        <w:rPr>
          <w:rStyle w:val="FootnoteReference"/>
        </w:rPr>
        <w:footnoteRef/>
      </w:r>
      <w:r>
        <w:t xml:space="preserve"> Non-standard terms refers to contractual terms which could affect the nature, maturity, etc. of the contract. Examples of such non-standard terms are material adverse change (MAC) clauses, call-options with step-up, etc. </w:t>
      </w:r>
    </w:p>
  </w:footnote>
  <w:footnote w:id="15">
    <w:p w14:paraId="351DCC48" w14:textId="77777777" w:rsidR="002D45CF" w:rsidRPr="009E7FAA" w:rsidRDefault="002D45CF" w:rsidP="009E7FAA">
      <w:pPr>
        <w:pStyle w:val="FootnoteText"/>
      </w:pPr>
      <w:r>
        <w:rPr>
          <w:rStyle w:val="FootnoteReference"/>
        </w:rPr>
        <w:footnoteRef/>
      </w:r>
      <w:r>
        <w:t xml:space="preserve"> Consistently with the </w:t>
      </w:r>
      <w:r w:rsidRPr="009E7FAA">
        <w:t xml:space="preserve">EBA Opinion on issues related to the departure of the UK from the </w:t>
      </w:r>
      <w:r>
        <w:t>EU (EBA/Op/2017/12), par. 24(k) that</w:t>
      </w:r>
      <w:r w:rsidRPr="009E7FAA">
        <w:t xml:space="preserve"> incites resolution authorities to “</w:t>
      </w:r>
      <w:r w:rsidRPr="00AF1D10">
        <w:rPr>
          <w:i/>
        </w:rPr>
        <w:t>mitigate the risk that the use of their powers will not automatically be recognised by the UK courts, for instance through requiring the inclusion of resolution action recognition clauses in contracts governed by English law</w:t>
      </w:r>
      <w:r w:rsidRPr="009E7FAA">
        <w:t>”</w:t>
      </w:r>
      <w:r>
        <w:t>.</w:t>
      </w:r>
    </w:p>
  </w:footnote>
  <w:footnote w:id="16">
    <w:p w14:paraId="5332BCB3" w14:textId="77777777" w:rsidR="002D45CF" w:rsidRPr="002B0BF8" w:rsidRDefault="002D45CF">
      <w:pPr>
        <w:pStyle w:val="FootnoteText"/>
      </w:pPr>
      <w:r>
        <w:rPr>
          <w:rStyle w:val="FootnoteReference"/>
        </w:rPr>
        <w:footnoteRef/>
      </w:r>
      <w:r>
        <w:t xml:space="preserve"> Non-standard terms refers to contractual terms which could affect the nature, maturity, etc. of the contract. Examples of such non-standard terms are material adverse change (MAC) clauses, call-options with step-up, etc.</w:t>
      </w:r>
    </w:p>
  </w:footnote>
  <w:footnote w:id="17">
    <w:p w14:paraId="5C7DF0FF" w14:textId="77777777" w:rsidR="002D45CF" w:rsidRPr="0018198C" w:rsidRDefault="002D45CF">
      <w:pPr>
        <w:pStyle w:val="FootnoteText"/>
      </w:pPr>
      <w:r>
        <w:rPr>
          <w:rStyle w:val="FootnoteReference"/>
        </w:rPr>
        <w:footnoteRef/>
      </w:r>
      <w:r>
        <w:t xml:space="preserve"> The members participating in the ISDA Universal Stay Protocol can be found at </w:t>
      </w:r>
      <w:hyperlink r:id="rId1" w:history="1">
        <w:r w:rsidRPr="005E1CBE">
          <w:rPr>
            <w:rStyle w:val="Hyperlink"/>
          </w:rPr>
          <w:t>https://www.isda.org/protocol/isda-2015-universal-resolution-stay-protocol/adhering-parties</w:t>
        </w:r>
      </w:hyperlink>
      <w:r>
        <w:t>. Other (modular) stay protocol participants can also be found on the ISDA website.</w:t>
      </w:r>
    </w:p>
  </w:footnote>
  <w:footnote w:id="18">
    <w:p w14:paraId="405EBF22" w14:textId="77777777" w:rsidR="002D45CF" w:rsidRPr="009E7FAA" w:rsidRDefault="002D45CF" w:rsidP="00FD7424">
      <w:pPr>
        <w:pStyle w:val="FootnoteText"/>
      </w:pPr>
      <w:r>
        <w:rPr>
          <w:rStyle w:val="FootnoteReference"/>
        </w:rPr>
        <w:footnoteRef/>
      </w:r>
      <w:r>
        <w:t xml:space="preserve"> Consistently with the </w:t>
      </w:r>
      <w:r w:rsidRPr="009E7FAA">
        <w:t xml:space="preserve">EBA Opinion on issues related to the departure of the UK from the </w:t>
      </w:r>
      <w:r>
        <w:t>EU (EBA/Op/2017/12), par. 24(k) that</w:t>
      </w:r>
      <w:r w:rsidRPr="009E7FAA">
        <w:t xml:space="preserve"> incites resolution authorities to “</w:t>
      </w:r>
      <w:r w:rsidRPr="00AF1D10">
        <w:rPr>
          <w:i/>
        </w:rPr>
        <w:t>mitigate the risk that the use of their powers will not automatically be recognised by the UK courts, for instance through requiring the inclusion of resolution action recognition clauses in contracts governed by English law</w:t>
      </w:r>
      <w:r w:rsidRPr="009E7FAA">
        <w:t>”</w:t>
      </w:r>
      <w:r>
        <w:t>.</w:t>
      </w:r>
    </w:p>
  </w:footnote>
  <w:footnote w:id="19">
    <w:p w14:paraId="66935BE6" w14:textId="77777777" w:rsidR="002D45CF" w:rsidRPr="000669BE" w:rsidRDefault="002D45CF">
      <w:pPr>
        <w:pStyle w:val="FootnoteText"/>
        <w:rPr>
          <w:lang w:val="en-GB"/>
        </w:rPr>
      </w:pPr>
      <w:r>
        <w:rPr>
          <w:rStyle w:val="FootnoteReference"/>
        </w:rPr>
        <w:footnoteRef/>
      </w:r>
      <w:r>
        <w:t xml:space="preserve"> </w:t>
      </w:r>
      <w:r>
        <w:rPr>
          <w:lang w:val="en-GB"/>
        </w:rPr>
        <w:t>As indicated in Part 1, Section 1, the default scope can be amended to take into account specificities of the group and/or entities with a view to collect an adequate level of information for the purposes of resolution planning. It also does not exempt any of the entities to develop the capacity to report the information on an ad hoc basis, for example in the case of an actual resolution scheme having to be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5292" w14:textId="7F05D596" w:rsidR="002D45CF" w:rsidRPr="009202A4" w:rsidRDefault="002D45CF">
    <w:pPr>
      <w:pStyle w:val="Header"/>
      <w:rPr>
        <w:lang w:val="en-GB"/>
      </w:rPr>
    </w:pPr>
    <w:r>
      <w:rPr>
        <w:noProof/>
        <w:lang w:val="en-GB" w:eastAsia="en-GB"/>
      </w:rPr>
      <w:drawing>
        <wp:anchor distT="0" distB="0" distL="114300" distR="114300" simplePos="0" relativeHeight="251658240" behindDoc="1" locked="0" layoutInCell="1" allowOverlap="1" wp14:anchorId="34FBD01E" wp14:editId="3B6BECDC">
          <wp:simplePos x="0" y="0"/>
          <wp:positionH relativeFrom="page">
            <wp:align>left</wp:align>
          </wp:positionH>
          <wp:positionV relativeFrom="page">
            <wp:align>top</wp:align>
          </wp:positionV>
          <wp:extent cx="7598410" cy="10739120"/>
          <wp:effectExtent l="0" t="0" r="254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4D2">
      <w:rPr>
        <w:lang w:val="en-GB"/>
      </w:rPr>
      <w:tab/>
    </w:r>
    <w:r>
      <w:rPr>
        <w:lang w:val="en-GB"/>
      </w:rPr>
      <w:t>Guidance</w:t>
    </w:r>
    <w:r w:rsidRPr="009202A4">
      <w:rPr>
        <w:lang w:val="en-GB"/>
      </w:rPr>
      <w:t xml:space="preserve"> on the </w:t>
    </w:r>
    <w:r>
      <w:rPr>
        <w:lang w:val="en-GB"/>
      </w:rPr>
      <w:t xml:space="preserve">2020 </w:t>
    </w:r>
    <w:r w:rsidRPr="009202A4">
      <w:rPr>
        <w:lang w:val="en-GB"/>
      </w:rPr>
      <w:t>Liability Data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85E1" w14:textId="485172D2" w:rsidR="002D45CF" w:rsidRPr="002A0232" w:rsidRDefault="002D45CF">
    <w:pPr>
      <w:pStyle w:val="Header"/>
      <w:rPr>
        <w:lang w:val="en-GB"/>
      </w:rPr>
    </w:pPr>
    <w:r>
      <w:rPr>
        <w:noProof/>
        <w:lang w:val="en-GB" w:eastAsia="en-GB"/>
      </w:rPr>
      <w:drawing>
        <wp:anchor distT="0" distB="0" distL="114300" distR="114300" simplePos="0" relativeHeight="251658241" behindDoc="1" locked="0" layoutInCell="1" allowOverlap="1" wp14:anchorId="366A8538" wp14:editId="2F859242">
          <wp:simplePos x="0" y="0"/>
          <wp:positionH relativeFrom="page">
            <wp:align>left</wp:align>
          </wp:positionH>
          <wp:positionV relativeFrom="page">
            <wp:align>top</wp:align>
          </wp:positionV>
          <wp:extent cx="7598410" cy="10739120"/>
          <wp:effectExtent l="0" t="0" r="254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4D2">
      <w:rPr>
        <w:lang w:val="en-GB"/>
      </w:rPr>
      <w:tab/>
    </w:r>
    <w:r>
      <w:rPr>
        <w:lang w:val="en-GB"/>
      </w:rPr>
      <w:t>Guidance</w:t>
    </w:r>
    <w:r w:rsidRPr="009202A4">
      <w:rPr>
        <w:lang w:val="en-GB"/>
      </w:rPr>
      <w:t xml:space="preserve"> on the </w:t>
    </w:r>
    <w:r>
      <w:rPr>
        <w:lang w:val="en-GB"/>
      </w:rPr>
      <w:t xml:space="preserve">2020 </w:t>
    </w:r>
    <w:r w:rsidRPr="009202A4">
      <w:rPr>
        <w:lang w:val="en-GB"/>
      </w:rPr>
      <w:t>Liability Data Report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D7EB" w14:textId="6DD3EAAD" w:rsidR="002D45CF" w:rsidRPr="00AE0C4F" w:rsidRDefault="002D45CF" w:rsidP="00AE0C4F">
    <w:pPr>
      <w:pStyle w:val="Header"/>
      <w:tabs>
        <w:tab w:val="clear" w:pos="9026"/>
      </w:tabs>
      <w:rPr>
        <w:lang w:val="en-GB"/>
      </w:rPr>
    </w:pPr>
    <w:r>
      <w:rPr>
        <w:noProof/>
        <w:lang w:val="en-GB" w:eastAsia="en-GB"/>
      </w:rPr>
      <w:drawing>
        <wp:anchor distT="0" distB="0" distL="114300" distR="114300" simplePos="0" relativeHeight="251658242" behindDoc="1" locked="0" layoutInCell="1" allowOverlap="1" wp14:anchorId="3248AA72" wp14:editId="28BFA14C">
          <wp:simplePos x="0" y="0"/>
          <wp:positionH relativeFrom="page">
            <wp:align>left</wp:align>
          </wp:positionH>
          <wp:positionV relativeFrom="page">
            <wp:align>top</wp:align>
          </wp:positionV>
          <wp:extent cx="7598410" cy="10739120"/>
          <wp:effectExtent l="0" t="0" r="254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73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C4F">
      <w:rPr>
        <w:lang w:val="en-GB"/>
      </w:rPr>
      <w:tab/>
    </w:r>
    <w:r>
      <w:rPr>
        <w:lang w:val="en-GB"/>
      </w:rPr>
      <w:t>Guidance</w:t>
    </w:r>
    <w:r w:rsidRPr="009202A4">
      <w:rPr>
        <w:lang w:val="en-GB"/>
      </w:rPr>
      <w:t xml:space="preserve"> on the </w:t>
    </w:r>
    <w:r>
      <w:rPr>
        <w:lang w:val="en-GB"/>
      </w:rPr>
      <w:t xml:space="preserve">2020 </w:t>
    </w:r>
    <w:r w:rsidRPr="009202A4">
      <w:rPr>
        <w:lang w:val="en-GB"/>
      </w:rPr>
      <w:t>Liability Data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A29"/>
    <w:multiLevelType w:val="hybridMultilevel"/>
    <w:tmpl w:val="38A69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7AD"/>
    <w:multiLevelType w:val="hybridMultilevel"/>
    <w:tmpl w:val="9EA4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95931"/>
    <w:multiLevelType w:val="hybridMultilevel"/>
    <w:tmpl w:val="D034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691E"/>
    <w:multiLevelType w:val="multilevel"/>
    <w:tmpl w:val="77D235D6"/>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0409E3"/>
    <w:multiLevelType w:val="hybridMultilevel"/>
    <w:tmpl w:val="CF1A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826D5"/>
    <w:multiLevelType w:val="hybridMultilevel"/>
    <w:tmpl w:val="F9C0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2537C"/>
    <w:multiLevelType w:val="hybridMultilevel"/>
    <w:tmpl w:val="F3B8A354"/>
    <w:lvl w:ilvl="0" w:tplc="8D4AEF98">
      <w:start w:val="1"/>
      <w:numFmt w:val="decimal"/>
      <w:lvlText w:val="%1."/>
      <w:lvlJc w:val="left"/>
      <w:pPr>
        <w:ind w:left="163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62503EE"/>
    <w:multiLevelType w:val="hybridMultilevel"/>
    <w:tmpl w:val="F9CEE1EE"/>
    <w:lvl w:ilvl="0" w:tplc="F1D418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C6F3C"/>
    <w:multiLevelType w:val="hybridMultilevel"/>
    <w:tmpl w:val="1B26FEB2"/>
    <w:lvl w:ilvl="0" w:tplc="0809000F">
      <w:start w:val="1"/>
      <w:numFmt w:val="decimal"/>
      <w:lvlText w:val="%1."/>
      <w:lvlJc w:val="left"/>
      <w:pPr>
        <w:ind w:left="3600" w:hanging="360"/>
      </w:pPr>
    </w:lvl>
    <w:lvl w:ilvl="1" w:tplc="080C0019" w:tentative="1">
      <w:start w:val="1"/>
      <w:numFmt w:val="lowerLetter"/>
      <w:lvlText w:val="%2."/>
      <w:lvlJc w:val="left"/>
      <w:pPr>
        <w:ind w:left="4320" w:hanging="360"/>
      </w:pPr>
    </w:lvl>
    <w:lvl w:ilvl="2" w:tplc="080C001B" w:tentative="1">
      <w:start w:val="1"/>
      <w:numFmt w:val="lowerRoman"/>
      <w:lvlText w:val="%3."/>
      <w:lvlJc w:val="right"/>
      <w:pPr>
        <w:ind w:left="5040" w:hanging="180"/>
      </w:pPr>
    </w:lvl>
    <w:lvl w:ilvl="3" w:tplc="080C000F" w:tentative="1">
      <w:start w:val="1"/>
      <w:numFmt w:val="decimal"/>
      <w:lvlText w:val="%4."/>
      <w:lvlJc w:val="left"/>
      <w:pPr>
        <w:ind w:left="5760" w:hanging="360"/>
      </w:pPr>
    </w:lvl>
    <w:lvl w:ilvl="4" w:tplc="080C0019" w:tentative="1">
      <w:start w:val="1"/>
      <w:numFmt w:val="lowerLetter"/>
      <w:lvlText w:val="%5."/>
      <w:lvlJc w:val="left"/>
      <w:pPr>
        <w:ind w:left="6480" w:hanging="360"/>
      </w:pPr>
    </w:lvl>
    <w:lvl w:ilvl="5" w:tplc="080C001B" w:tentative="1">
      <w:start w:val="1"/>
      <w:numFmt w:val="lowerRoman"/>
      <w:lvlText w:val="%6."/>
      <w:lvlJc w:val="right"/>
      <w:pPr>
        <w:ind w:left="7200" w:hanging="180"/>
      </w:pPr>
    </w:lvl>
    <w:lvl w:ilvl="6" w:tplc="080C000F" w:tentative="1">
      <w:start w:val="1"/>
      <w:numFmt w:val="decimal"/>
      <w:lvlText w:val="%7."/>
      <w:lvlJc w:val="left"/>
      <w:pPr>
        <w:ind w:left="7920" w:hanging="360"/>
      </w:pPr>
    </w:lvl>
    <w:lvl w:ilvl="7" w:tplc="080C0019" w:tentative="1">
      <w:start w:val="1"/>
      <w:numFmt w:val="lowerLetter"/>
      <w:lvlText w:val="%8."/>
      <w:lvlJc w:val="left"/>
      <w:pPr>
        <w:ind w:left="8640" w:hanging="360"/>
      </w:pPr>
    </w:lvl>
    <w:lvl w:ilvl="8" w:tplc="080C001B" w:tentative="1">
      <w:start w:val="1"/>
      <w:numFmt w:val="lowerRoman"/>
      <w:lvlText w:val="%9."/>
      <w:lvlJc w:val="right"/>
      <w:pPr>
        <w:ind w:left="9360" w:hanging="180"/>
      </w:pPr>
    </w:lvl>
  </w:abstractNum>
  <w:abstractNum w:abstractNumId="9" w15:restartNumberingAfterBreak="0">
    <w:nsid w:val="2C1C61DC"/>
    <w:multiLevelType w:val="hybridMultilevel"/>
    <w:tmpl w:val="EB20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35E39"/>
    <w:multiLevelType w:val="hybridMultilevel"/>
    <w:tmpl w:val="13F0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051D1"/>
    <w:multiLevelType w:val="multilevel"/>
    <w:tmpl w:val="0809001F"/>
    <w:lvl w:ilvl="0">
      <w:start w:val="1"/>
      <w:numFmt w:val="decimal"/>
      <w:lvlText w:val="%1."/>
      <w:lvlJc w:val="left"/>
      <w:pPr>
        <w:ind w:left="3195" w:hanging="360"/>
      </w:pPr>
    </w:lvl>
    <w:lvl w:ilvl="1">
      <w:start w:val="1"/>
      <w:numFmt w:val="decimal"/>
      <w:lvlText w:val="%1.%2."/>
      <w:lvlJc w:val="left"/>
      <w:pPr>
        <w:ind w:left="3627" w:hanging="432"/>
      </w:p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abstractNum w:abstractNumId="12" w15:restartNumberingAfterBreak="0">
    <w:nsid w:val="30B006D7"/>
    <w:multiLevelType w:val="multilevel"/>
    <w:tmpl w:val="0809001F"/>
    <w:lvl w:ilvl="0">
      <w:start w:val="1"/>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E1157"/>
    <w:multiLevelType w:val="hybridMultilevel"/>
    <w:tmpl w:val="D72C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A0DF2"/>
    <w:multiLevelType w:val="hybridMultilevel"/>
    <w:tmpl w:val="4CC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34AFB"/>
    <w:multiLevelType w:val="hybridMultilevel"/>
    <w:tmpl w:val="89E20E7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E1833C9"/>
    <w:multiLevelType w:val="hybridMultilevel"/>
    <w:tmpl w:val="BB1CCC4E"/>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E50242D"/>
    <w:multiLevelType w:val="hybridMultilevel"/>
    <w:tmpl w:val="1B4E0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FFF20D0"/>
    <w:multiLevelType w:val="hybridMultilevel"/>
    <w:tmpl w:val="1EE21EB2"/>
    <w:lvl w:ilvl="0" w:tplc="D8FE370E">
      <w:start w:val="1"/>
      <w:numFmt w:val="decimal"/>
      <w:lvlText w:val="%1."/>
      <w:lvlJc w:val="left"/>
      <w:pPr>
        <w:ind w:left="720" w:hanging="360"/>
      </w:pPr>
      <w:rPr>
        <w:rFonts w:hint="default"/>
      </w:rPr>
    </w:lvl>
    <w:lvl w:ilvl="1" w:tplc="EC0C108C">
      <w:numFmt w:val="bullet"/>
      <w:lvlText w:val="•"/>
      <w:lvlJc w:val="left"/>
      <w:pPr>
        <w:ind w:left="1788" w:hanging="708"/>
      </w:pPr>
      <w:rPr>
        <w:rFonts w:ascii="Verdana" w:eastAsiaTheme="minorHAnsi" w:hAnsi="Verdana"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72858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E819B2"/>
    <w:multiLevelType w:val="hybridMultilevel"/>
    <w:tmpl w:val="CDA4AD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85465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B8092E"/>
    <w:multiLevelType w:val="hybridMultilevel"/>
    <w:tmpl w:val="7ECC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F6877"/>
    <w:multiLevelType w:val="hybridMultilevel"/>
    <w:tmpl w:val="D408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A8396C"/>
    <w:multiLevelType w:val="hybridMultilevel"/>
    <w:tmpl w:val="3AF8C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FF809BC"/>
    <w:multiLevelType w:val="hybridMultilevel"/>
    <w:tmpl w:val="2146E8B8"/>
    <w:lvl w:ilvl="0" w:tplc="6CB828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D76CF"/>
    <w:multiLevelType w:val="hybridMultilevel"/>
    <w:tmpl w:val="4F8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E595E"/>
    <w:multiLevelType w:val="multilevel"/>
    <w:tmpl w:val="E1A4F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04656A"/>
    <w:multiLevelType w:val="hybridMultilevel"/>
    <w:tmpl w:val="94BC7D02"/>
    <w:lvl w:ilvl="0" w:tplc="A9A6C2A4">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02B67"/>
    <w:multiLevelType w:val="hybridMultilevel"/>
    <w:tmpl w:val="AFD623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7B43330"/>
    <w:multiLevelType w:val="multilevel"/>
    <w:tmpl w:val="77D235D6"/>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64438B"/>
    <w:multiLevelType w:val="hybridMultilevel"/>
    <w:tmpl w:val="DF5A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B6EA9"/>
    <w:multiLevelType w:val="hybridMultilevel"/>
    <w:tmpl w:val="007C096E"/>
    <w:lvl w:ilvl="0" w:tplc="32E045CC">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77DDF"/>
    <w:multiLevelType w:val="hybridMultilevel"/>
    <w:tmpl w:val="6C8A8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A0BDA"/>
    <w:multiLevelType w:val="hybridMultilevel"/>
    <w:tmpl w:val="A0740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B7380"/>
    <w:multiLevelType w:val="hybridMultilevel"/>
    <w:tmpl w:val="73F0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07D10"/>
    <w:multiLevelType w:val="hybridMultilevel"/>
    <w:tmpl w:val="42AC4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14"/>
  </w:num>
  <w:num w:numId="5">
    <w:abstractNumId w:val="33"/>
  </w:num>
  <w:num w:numId="6">
    <w:abstractNumId w:val="26"/>
  </w:num>
  <w:num w:numId="7">
    <w:abstractNumId w:val="23"/>
  </w:num>
  <w:num w:numId="8">
    <w:abstractNumId w:val="0"/>
  </w:num>
  <w:num w:numId="9">
    <w:abstractNumId w:val="36"/>
  </w:num>
  <w:num w:numId="10">
    <w:abstractNumId w:val="11"/>
  </w:num>
  <w:num w:numId="11">
    <w:abstractNumId w:val="7"/>
  </w:num>
  <w:num w:numId="12">
    <w:abstractNumId w:val="25"/>
  </w:num>
  <w:num w:numId="13">
    <w:abstractNumId w:val="22"/>
  </w:num>
  <w:num w:numId="14">
    <w:abstractNumId w:val="4"/>
  </w:num>
  <w:num w:numId="15">
    <w:abstractNumId w:val="10"/>
  </w:num>
  <w:num w:numId="16">
    <w:abstractNumId w:val="13"/>
  </w:num>
  <w:num w:numId="17">
    <w:abstractNumId w:val="2"/>
  </w:num>
  <w:num w:numId="18">
    <w:abstractNumId w:val="19"/>
  </w:num>
  <w:num w:numId="19">
    <w:abstractNumId w:val="18"/>
  </w:num>
  <w:num w:numId="20">
    <w:abstractNumId w:val="17"/>
  </w:num>
  <w:num w:numId="21">
    <w:abstractNumId w:val="29"/>
  </w:num>
  <w:num w:numId="22">
    <w:abstractNumId w:val="6"/>
  </w:num>
  <w:num w:numId="23">
    <w:abstractNumId w:val="24"/>
  </w:num>
  <w:num w:numId="24">
    <w:abstractNumId w:val="20"/>
  </w:num>
  <w:num w:numId="25">
    <w:abstractNumId w:val="15"/>
  </w:num>
  <w:num w:numId="26">
    <w:abstractNumId w:val="32"/>
  </w:num>
  <w:num w:numId="27">
    <w:abstractNumId w:val="34"/>
  </w:num>
  <w:num w:numId="28">
    <w:abstractNumId w:val="27"/>
  </w:num>
  <w:num w:numId="29">
    <w:abstractNumId w:val="9"/>
  </w:num>
  <w:num w:numId="30">
    <w:abstractNumId w:val="1"/>
  </w:num>
  <w:num w:numId="31">
    <w:abstractNumId w:val="31"/>
  </w:num>
  <w:num w:numId="32">
    <w:abstractNumId w:val="35"/>
  </w:num>
  <w:num w:numId="33">
    <w:abstractNumId w:val="28"/>
  </w:num>
  <w:num w:numId="34">
    <w:abstractNumId w:val="21"/>
  </w:num>
  <w:num w:numId="35">
    <w:abstractNumId w:val="30"/>
  </w:num>
  <w:num w:numId="36">
    <w:abstractNumId w:val="3"/>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B">
    <w15:presenceInfo w15:providerId="None" w15:userId="S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32"/>
    <w:rsid w:val="00004E0F"/>
    <w:rsid w:val="000050CA"/>
    <w:rsid w:val="000111A1"/>
    <w:rsid w:val="00016B03"/>
    <w:rsid w:val="000223B1"/>
    <w:rsid w:val="000225C9"/>
    <w:rsid w:val="00025F3B"/>
    <w:rsid w:val="000269DB"/>
    <w:rsid w:val="00027F0A"/>
    <w:rsid w:val="00040512"/>
    <w:rsid w:val="00044199"/>
    <w:rsid w:val="00045639"/>
    <w:rsid w:val="00047E4D"/>
    <w:rsid w:val="00050617"/>
    <w:rsid w:val="00054486"/>
    <w:rsid w:val="000559CA"/>
    <w:rsid w:val="00064A6F"/>
    <w:rsid w:val="00066382"/>
    <w:rsid w:val="000669BE"/>
    <w:rsid w:val="00067F2F"/>
    <w:rsid w:val="0007016F"/>
    <w:rsid w:val="00070ED2"/>
    <w:rsid w:val="00073B92"/>
    <w:rsid w:val="00076993"/>
    <w:rsid w:val="0008151D"/>
    <w:rsid w:val="000831C9"/>
    <w:rsid w:val="0008348F"/>
    <w:rsid w:val="00084736"/>
    <w:rsid w:val="00084B0F"/>
    <w:rsid w:val="00085F8F"/>
    <w:rsid w:val="000947B4"/>
    <w:rsid w:val="00096DB8"/>
    <w:rsid w:val="000A2E1A"/>
    <w:rsid w:val="000A4CDC"/>
    <w:rsid w:val="000A75CF"/>
    <w:rsid w:val="000B085A"/>
    <w:rsid w:val="000B1D0F"/>
    <w:rsid w:val="000B2341"/>
    <w:rsid w:val="000B4FDE"/>
    <w:rsid w:val="000C579F"/>
    <w:rsid w:val="000D4375"/>
    <w:rsid w:val="000D5E4E"/>
    <w:rsid w:val="000E008F"/>
    <w:rsid w:val="000F0241"/>
    <w:rsid w:val="000F3F1A"/>
    <w:rsid w:val="000F4045"/>
    <w:rsid w:val="000F52BB"/>
    <w:rsid w:val="000F570C"/>
    <w:rsid w:val="000F72D4"/>
    <w:rsid w:val="00100BCB"/>
    <w:rsid w:val="0011109F"/>
    <w:rsid w:val="0011396E"/>
    <w:rsid w:val="00115A34"/>
    <w:rsid w:val="00116787"/>
    <w:rsid w:val="00117CF1"/>
    <w:rsid w:val="00122681"/>
    <w:rsid w:val="00123F46"/>
    <w:rsid w:val="0013173E"/>
    <w:rsid w:val="001353DC"/>
    <w:rsid w:val="00140B80"/>
    <w:rsid w:val="001441CD"/>
    <w:rsid w:val="00144849"/>
    <w:rsid w:val="00145F08"/>
    <w:rsid w:val="00146513"/>
    <w:rsid w:val="00152D0D"/>
    <w:rsid w:val="00154EF6"/>
    <w:rsid w:val="001607AF"/>
    <w:rsid w:val="001624DD"/>
    <w:rsid w:val="00164809"/>
    <w:rsid w:val="0016742E"/>
    <w:rsid w:val="00181179"/>
    <w:rsid w:val="0018198C"/>
    <w:rsid w:val="0018358A"/>
    <w:rsid w:val="00184A1B"/>
    <w:rsid w:val="0018599E"/>
    <w:rsid w:val="00193611"/>
    <w:rsid w:val="00194F69"/>
    <w:rsid w:val="001956BB"/>
    <w:rsid w:val="001967F6"/>
    <w:rsid w:val="001A06B9"/>
    <w:rsid w:val="001A1419"/>
    <w:rsid w:val="001A3B77"/>
    <w:rsid w:val="001B08B4"/>
    <w:rsid w:val="001B323F"/>
    <w:rsid w:val="001B4610"/>
    <w:rsid w:val="001B5009"/>
    <w:rsid w:val="001B76C6"/>
    <w:rsid w:val="001B7DFF"/>
    <w:rsid w:val="001C2CF0"/>
    <w:rsid w:val="001C554B"/>
    <w:rsid w:val="001C7C38"/>
    <w:rsid w:val="001D0921"/>
    <w:rsid w:val="001D45ED"/>
    <w:rsid w:val="001D76C8"/>
    <w:rsid w:val="001D7EA5"/>
    <w:rsid w:val="001E02AB"/>
    <w:rsid w:val="001E0FFC"/>
    <w:rsid w:val="001E310B"/>
    <w:rsid w:val="001E4DAE"/>
    <w:rsid w:val="001E5696"/>
    <w:rsid w:val="001E6D25"/>
    <w:rsid w:val="001F0E47"/>
    <w:rsid w:val="001F2344"/>
    <w:rsid w:val="0020134F"/>
    <w:rsid w:val="002063B4"/>
    <w:rsid w:val="00214622"/>
    <w:rsid w:val="002157C7"/>
    <w:rsid w:val="00224474"/>
    <w:rsid w:val="00230D72"/>
    <w:rsid w:val="00233C00"/>
    <w:rsid w:val="00235FBA"/>
    <w:rsid w:val="00236441"/>
    <w:rsid w:val="00240191"/>
    <w:rsid w:val="00241D1D"/>
    <w:rsid w:val="0024445F"/>
    <w:rsid w:val="00247671"/>
    <w:rsid w:val="002525F1"/>
    <w:rsid w:val="0025576C"/>
    <w:rsid w:val="002671C0"/>
    <w:rsid w:val="00267F46"/>
    <w:rsid w:val="00270221"/>
    <w:rsid w:val="00274242"/>
    <w:rsid w:val="0027491A"/>
    <w:rsid w:val="00277BA2"/>
    <w:rsid w:val="00280901"/>
    <w:rsid w:val="00282945"/>
    <w:rsid w:val="00284343"/>
    <w:rsid w:val="0028524F"/>
    <w:rsid w:val="002860E8"/>
    <w:rsid w:val="00290107"/>
    <w:rsid w:val="0029186B"/>
    <w:rsid w:val="00291B57"/>
    <w:rsid w:val="002951DF"/>
    <w:rsid w:val="0029682A"/>
    <w:rsid w:val="002A0232"/>
    <w:rsid w:val="002A5839"/>
    <w:rsid w:val="002B0BF8"/>
    <w:rsid w:val="002B2B50"/>
    <w:rsid w:val="002B2BE5"/>
    <w:rsid w:val="002B5730"/>
    <w:rsid w:val="002B5DBA"/>
    <w:rsid w:val="002B6942"/>
    <w:rsid w:val="002C021E"/>
    <w:rsid w:val="002C33D4"/>
    <w:rsid w:val="002C7143"/>
    <w:rsid w:val="002D2C75"/>
    <w:rsid w:val="002D45CF"/>
    <w:rsid w:val="002D6809"/>
    <w:rsid w:val="002E2F24"/>
    <w:rsid w:val="002E32CB"/>
    <w:rsid w:val="002E6839"/>
    <w:rsid w:val="002F4E91"/>
    <w:rsid w:val="0030088C"/>
    <w:rsid w:val="00300E69"/>
    <w:rsid w:val="00304E9A"/>
    <w:rsid w:val="00306D3C"/>
    <w:rsid w:val="0031698B"/>
    <w:rsid w:val="003234B7"/>
    <w:rsid w:val="0033659E"/>
    <w:rsid w:val="00340AEE"/>
    <w:rsid w:val="00341874"/>
    <w:rsid w:val="0034227C"/>
    <w:rsid w:val="00343757"/>
    <w:rsid w:val="003445AD"/>
    <w:rsid w:val="00352F51"/>
    <w:rsid w:val="0035348E"/>
    <w:rsid w:val="00361DE5"/>
    <w:rsid w:val="00370E85"/>
    <w:rsid w:val="00377417"/>
    <w:rsid w:val="00381180"/>
    <w:rsid w:val="00381356"/>
    <w:rsid w:val="003856DE"/>
    <w:rsid w:val="003912F0"/>
    <w:rsid w:val="00392ADE"/>
    <w:rsid w:val="003A1947"/>
    <w:rsid w:val="003A24E8"/>
    <w:rsid w:val="003B06A0"/>
    <w:rsid w:val="003B28B4"/>
    <w:rsid w:val="003C35B7"/>
    <w:rsid w:val="003C3809"/>
    <w:rsid w:val="003C3983"/>
    <w:rsid w:val="003D00B4"/>
    <w:rsid w:val="003D0B7A"/>
    <w:rsid w:val="003D13AB"/>
    <w:rsid w:val="003D33EF"/>
    <w:rsid w:val="003D4482"/>
    <w:rsid w:val="003D589C"/>
    <w:rsid w:val="003D6B3C"/>
    <w:rsid w:val="003D6E95"/>
    <w:rsid w:val="003E071F"/>
    <w:rsid w:val="003E1BC1"/>
    <w:rsid w:val="003E5BD0"/>
    <w:rsid w:val="003E7184"/>
    <w:rsid w:val="0041331E"/>
    <w:rsid w:val="0041717E"/>
    <w:rsid w:val="00423716"/>
    <w:rsid w:val="004246FE"/>
    <w:rsid w:val="0042642F"/>
    <w:rsid w:val="00457224"/>
    <w:rsid w:val="00460436"/>
    <w:rsid w:val="0046120E"/>
    <w:rsid w:val="00462485"/>
    <w:rsid w:val="0046715C"/>
    <w:rsid w:val="00467711"/>
    <w:rsid w:val="00471BA2"/>
    <w:rsid w:val="004725D4"/>
    <w:rsid w:val="00473699"/>
    <w:rsid w:val="0048366A"/>
    <w:rsid w:val="004839AD"/>
    <w:rsid w:val="004868DC"/>
    <w:rsid w:val="004875D6"/>
    <w:rsid w:val="00490877"/>
    <w:rsid w:val="00491E04"/>
    <w:rsid w:val="004921EE"/>
    <w:rsid w:val="00493B32"/>
    <w:rsid w:val="00497368"/>
    <w:rsid w:val="004976D4"/>
    <w:rsid w:val="004A1962"/>
    <w:rsid w:val="004B4B43"/>
    <w:rsid w:val="004B51D2"/>
    <w:rsid w:val="004B7427"/>
    <w:rsid w:val="004C4659"/>
    <w:rsid w:val="004C7168"/>
    <w:rsid w:val="004D104F"/>
    <w:rsid w:val="004D1781"/>
    <w:rsid w:val="004D3986"/>
    <w:rsid w:val="004E0D4F"/>
    <w:rsid w:val="004E2EFC"/>
    <w:rsid w:val="004E4834"/>
    <w:rsid w:val="004F2346"/>
    <w:rsid w:val="004F34F3"/>
    <w:rsid w:val="004F470B"/>
    <w:rsid w:val="00501324"/>
    <w:rsid w:val="00503250"/>
    <w:rsid w:val="00504B9B"/>
    <w:rsid w:val="0050772D"/>
    <w:rsid w:val="005121F0"/>
    <w:rsid w:val="0051522D"/>
    <w:rsid w:val="005214D9"/>
    <w:rsid w:val="00525802"/>
    <w:rsid w:val="00527128"/>
    <w:rsid w:val="005271EE"/>
    <w:rsid w:val="005322AC"/>
    <w:rsid w:val="005336D4"/>
    <w:rsid w:val="00537372"/>
    <w:rsid w:val="0053784B"/>
    <w:rsid w:val="00540870"/>
    <w:rsid w:val="00540DC7"/>
    <w:rsid w:val="00543061"/>
    <w:rsid w:val="00545032"/>
    <w:rsid w:val="00546D60"/>
    <w:rsid w:val="00547FD7"/>
    <w:rsid w:val="0055051B"/>
    <w:rsid w:val="005517E2"/>
    <w:rsid w:val="005527B9"/>
    <w:rsid w:val="0055568E"/>
    <w:rsid w:val="0055633C"/>
    <w:rsid w:val="00560CA9"/>
    <w:rsid w:val="00563A05"/>
    <w:rsid w:val="00563F37"/>
    <w:rsid w:val="00563FF6"/>
    <w:rsid w:val="00570D4D"/>
    <w:rsid w:val="00576059"/>
    <w:rsid w:val="005778F1"/>
    <w:rsid w:val="00583A9A"/>
    <w:rsid w:val="005874CA"/>
    <w:rsid w:val="0059436A"/>
    <w:rsid w:val="005950A2"/>
    <w:rsid w:val="005959E1"/>
    <w:rsid w:val="005A315D"/>
    <w:rsid w:val="005A42C4"/>
    <w:rsid w:val="005A65D6"/>
    <w:rsid w:val="005B3A22"/>
    <w:rsid w:val="005C174B"/>
    <w:rsid w:val="005C36CD"/>
    <w:rsid w:val="005C6B23"/>
    <w:rsid w:val="005C7220"/>
    <w:rsid w:val="005D1AF3"/>
    <w:rsid w:val="005D4942"/>
    <w:rsid w:val="005D62C4"/>
    <w:rsid w:val="005E3190"/>
    <w:rsid w:val="005E419B"/>
    <w:rsid w:val="005E5E97"/>
    <w:rsid w:val="005E6A85"/>
    <w:rsid w:val="005F1FA7"/>
    <w:rsid w:val="005F21BF"/>
    <w:rsid w:val="00604C2A"/>
    <w:rsid w:val="00604F94"/>
    <w:rsid w:val="006131BD"/>
    <w:rsid w:val="006144DB"/>
    <w:rsid w:val="0061541C"/>
    <w:rsid w:val="006226A2"/>
    <w:rsid w:val="006273B4"/>
    <w:rsid w:val="00627947"/>
    <w:rsid w:val="00631BE2"/>
    <w:rsid w:val="006351E0"/>
    <w:rsid w:val="00635C84"/>
    <w:rsid w:val="006466B7"/>
    <w:rsid w:val="00646D9B"/>
    <w:rsid w:val="006478B5"/>
    <w:rsid w:val="00647B6B"/>
    <w:rsid w:val="006539DF"/>
    <w:rsid w:val="006550F9"/>
    <w:rsid w:val="00661A49"/>
    <w:rsid w:val="0066266B"/>
    <w:rsid w:val="00666214"/>
    <w:rsid w:val="00673980"/>
    <w:rsid w:val="00673BB1"/>
    <w:rsid w:val="0067666A"/>
    <w:rsid w:val="006808BD"/>
    <w:rsid w:val="00680AA5"/>
    <w:rsid w:val="00683233"/>
    <w:rsid w:val="0068638A"/>
    <w:rsid w:val="00690B61"/>
    <w:rsid w:val="00691B21"/>
    <w:rsid w:val="00692707"/>
    <w:rsid w:val="00696BC4"/>
    <w:rsid w:val="006A34E4"/>
    <w:rsid w:val="006A3700"/>
    <w:rsid w:val="006A77BA"/>
    <w:rsid w:val="006B5D02"/>
    <w:rsid w:val="006B731C"/>
    <w:rsid w:val="006B7408"/>
    <w:rsid w:val="006C3667"/>
    <w:rsid w:val="006C3BDB"/>
    <w:rsid w:val="006C3E4E"/>
    <w:rsid w:val="006D06B7"/>
    <w:rsid w:val="006D3FA7"/>
    <w:rsid w:val="006D73AD"/>
    <w:rsid w:val="006E2918"/>
    <w:rsid w:val="006E3DFC"/>
    <w:rsid w:val="006E60BF"/>
    <w:rsid w:val="006E6AF0"/>
    <w:rsid w:val="006F048E"/>
    <w:rsid w:val="006F36F5"/>
    <w:rsid w:val="006F44FD"/>
    <w:rsid w:val="006F4750"/>
    <w:rsid w:val="007025A8"/>
    <w:rsid w:val="00704A84"/>
    <w:rsid w:val="007052F5"/>
    <w:rsid w:val="00706844"/>
    <w:rsid w:val="007077E3"/>
    <w:rsid w:val="0071036A"/>
    <w:rsid w:val="00713386"/>
    <w:rsid w:val="0071493A"/>
    <w:rsid w:val="00715695"/>
    <w:rsid w:val="00724069"/>
    <w:rsid w:val="00726D6B"/>
    <w:rsid w:val="00727198"/>
    <w:rsid w:val="00727733"/>
    <w:rsid w:val="007279C9"/>
    <w:rsid w:val="00730798"/>
    <w:rsid w:val="00731B2D"/>
    <w:rsid w:val="007350CA"/>
    <w:rsid w:val="007353F2"/>
    <w:rsid w:val="00742738"/>
    <w:rsid w:val="00747093"/>
    <w:rsid w:val="007524F5"/>
    <w:rsid w:val="00752CC0"/>
    <w:rsid w:val="007702BA"/>
    <w:rsid w:val="0077036D"/>
    <w:rsid w:val="00772DBA"/>
    <w:rsid w:val="00774685"/>
    <w:rsid w:val="007767FB"/>
    <w:rsid w:val="00784AEC"/>
    <w:rsid w:val="007914AD"/>
    <w:rsid w:val="00791623"/>
    <w:rsid w:val="00791B5B"/>
    <w:rsid w:val="00793B00"/>
    <w:rsid w:val="00794433"/>
    <w:rsid w:val="00797E5D"/>
    <w:rsid w:val="007A2278"/>
    <w:rsid w:val="007A2597"/>
    <w:rsid w:val="007A432B"/>
    <w:rsid w:val="007A7C3A"/>
    <w:rsid w:val="007B0082"/>
    <w:rsid w:val="007B0C60"/>
    <w:rsid w:val="007B2A6D"/>
    <w:rsid w:val="007B7B2C"/>
    <w:rsid w:val="007C54D2"/>
    <w:rsid w:val="007C6ECE"/>
    <w:rsid w:val="007D16D5"/>
    <w:rsid w:val="007D17EC"/>
    <w:rsid w:val="007D18F0"/>
    <w:rsid w:val="007D1AD1"/>
    <w:rsid w:val="007D2893"/>
    <w:rsid w:val="007D50F0"/>
    <w:rsid w:val="007D7FDF"/>
    <w:rsid w:val="007E3EA5"/>
    <w:rsid w:val="007F0546"/>
    <w:rsid w:val="007F2CE7"/>
    <w:rsid w:val="007F5AA2"/>
    <w:rsid w:val="007F6F17"/>
    <w:rsid w:val="008009DF"/>
    <w:rsid w:val="0080222E"/>
    <w:rsid w:val="00804479"/>
    <w:rsid w:val="00804F3B"/>
    <w:rsid w:val="00810B18"/>
    <w:rsid w:val="00812367"/>
    <w:rsid w:val="008125B1"/>
    <w:rsid w:val="00821531"/>
    <w:rsid w:val="008329FF"/>
    <w:rsid w:val="00833A16"/>
    <w:rsid w:val="00835CA5"/>
    <w:rsid w:val="00843E16"/>
    <w:rsid w:val="008539D8"/>
    <w:rsid w:val="00854137"/>
    <w:rsid w:val="00861568"/>
    <w:rsid w:val="00865536"/>
    <w:rsid w:val="00870CBA"/>
    <w:rsid w:val="0087343A"/>
    <w:rsid w:val="00873CC0"/>
    <w:rsid w:val="00875D43"/>
    <w:rsid w:val="00882E08"/>
    <w:rsid w:val="00883BBC"/>
    <w:rsid w:val="0089050D"/>
    <w:rsid w:val="00890835"/>
    <w:rsid w:val="008925A9"/>
    <w:rsid w:val="00894172"/>
    <w:rsid w:val="008A2774"/>
    <w:rsid w:val="008A586C"/>
    <w:rsid w:val="008B2D27"/>
    <w:rsid w:val="008C0962"/>
    <w:rsid w:val="008C1DF1"/>
    <w:rsid w:val="008C69F8"/>
    <w:rsid w:val="008D652E"/>
    <w:rsid w:val="008D6FAC"/>
    <w:rsid w:val="008E0B8A"/>
    <w:rsid w:val="008E3235"/>
    <w:rsid w:val="008E62AA"/>
    <w:rsid w:val="008E642F"/>
    <w:rsid w:val="008E6D33"/>
    <w:rsid w:val="008F6429"/>
    <w:rsid w:val="008F7F38"/>
    <w:rsid w:val="00901B29"/>
    <w:rsid w:val="00902BAF"/>
    <w:rsid w:val="00906730"/>
    <w:rsid w:val="00910B58"/>
    <w:rsid w:val="0091397B"/>
    <w:rsid w:val="009145C7"/>
    <w:rsid w:val="009149E3"/>
    <w:rsid w:val="00914A10"/>
    <w:rsid w:val="00916DEB"/>
    <w:rsid w:val="0091707D"/>
    <w:rsid w:val="009202A4"/>
    <w:rsid w:val="00921151"/>
    <w:rsid w:val="00924479"/>
    <w:rsid w:val="0092564D"/>
    <w:rsid w:val="00926016"/>
    <w:rsid w:val="009327AD"/>
    <w:rsid w:val="00934F4A"/>
    <w:rsid w:val="00935A83"/>
    <w:rsid w:val="00941FBB"/>
    <w:rsid w:val="009455A3"/>
    <w:rsid w:val="009474F1"/>
    <w:rsid w:val="00950E6A"/>
    <w:rsid w:val="00955358"/>
    <w:rsid w:val="00960985"/>
    <w:rsid w:val="00965702"/>
    <w:rsid w:val="00967E24"/>
    <w:rsid w:val="009728D7"/>
    <w:rsid w:val="0097317E"/>
    <w:rsid w:val="00976ACE"/>
    <w:rsid w:val="0098031C"/>
    <w:rsid w:val="00984927"/>
    <w:rsid w:val="00984D67"/>
    <w:rsid w:val="0098538F"/>
    <w:rsid w:val="009873BF"/>
    <w:rsid w:val="00991041"/>
    <w:rsid w:val="009A34F0"/>
    <w:rsid w:val="009A373B"/>
    <w:rsid w:val="009A4A48"/>
    <w:rsid w:val="009A5135"/>
    <w:rsid w:val="009A6194"/>
    <w:rsid w:val="009B1AC4"/>
    <w:rsid w:val="009B56D9"/>
    <w:rsid w:val="009B75D1"/>
    <w:rsid w:val="009C17CC"/>
    <w:rsid w:val="009D1F39"/>
    <w:rsid w:val="009D6050"/>
    <w:rsid w:val="009E4087"/>
    <w:rsid w:val="009E5B64"/>
    <w:rsid w:val="009E6BEB"/>
    <w:rsid w:val="009E7FAA"/>
    <w:rsid w:val="009F1C26"/>
    <w:rsid w:val="009F3B0C"/>
    <w:rsid w:val="009F4B34"/>
    <w:rsid w:val="009F57AA"/>
    <w:rsid w:val="009F73C8"/>
    <w:rsid w:val="00A0473D"/>
    <w:rsid w:val="00A05BB4"/>
    <w:rsid w:val="00A0649B"/>
    <w:rsid w:val="00A10180"/>
    <w:rsid w:val="00A11411"/>
    <w:rsid w:val="00A11BE7"/>
    <w:rsid w:val="00A155F0"/>
    <w:rsid w:val="00A20739"/>
    <w:rsid w:val="00A218D4"/>
    <w:rsid w:val="00A21F57"/>
    <w:rsid w:val="00A229BE"/>
    <w:rsid w:val="00A230D9"/>
    <w:rsid w:val="00A26B9D"/>
    <w:rsid w:val="00A26D92"/>
    <w:rsid w:val="00A305F3"/>
    <w:rsid w:val="00A32783"/>
    <w:rsid w:val="00A42E05"/>
    <w:rsid w:val="00A42E6D"/>
    <w:rsid w:val="00A473CC"/>
    <w:rsid w:val="00A51102"/>
    <w:rsid w:val="00A52EDD"/>
    <w:rsid w:val="00A53221"/>
    <w:rsid w:val="00A5495E"/>
    <w:rsid w:val="00A605CD"/>
    <w:rsid w:val="00A61669"/>
    <w:rsid w:val="00A61B44"/>
    <w:rsid w:val="00A66F7B"/>
    <w:rsid w:val="00A67939"/>
    <w:rsid w:val="00A71A8E"/>
    <w:rsid w:val="00A7565D"/>
    <w:rsid w:val="00A76683"/>
    <w:rsid w:val="00A86483"/>
    <w:rsid w:val="00A8758A"/>
    <w:rsid w:val="00A87EDB"/>
    <w:rsid w:val="00A96E8F"/>
    <w:rsid w:val="00A97203"/>
    <w:rsid w:val="00AA3845"/>
    <w:rsid w:val="00AA619B"/>
    <w:rsid w:val="00AB19F7"/>
    <w:rsid w:val="00AB3E34"/>
    <w:rsid w:val="00AB53DE"/>
    <w:rsid w:val="00AB6CDB"/>
    <w:rsid w:val="00AB752D"/>
    <w:rsid w:val="00AC044E"/>
    <w:rsid w:val="00AC0B97"/>
    <w:rsid w:val="00AC112C"/>
    <w:rsid w:val="00AD420A"/>
    <w:rsid w:val="00AD527A"/>
    <w:rsid w:val="00AD63F5"/>
    <w:rsid w:val="00AE0C4F"/>
    <w:rsid w:val="00AF0536"/>
    <w:rsid w:val="00AF0E0E"/>
    <w:rsid w:val="00AF1B59"/>
    <w:rsid w:val="00AF4CE6"/>
    <w:rsid w:val="00B00E6E"/>
    <w:rsid w:val="00B04FEB"/>
    <w:rsid w:val="00B06180"/>
    <w:rsid w:val="00B13203"/>
    <w:rsid w:val="00B14542"/>
    <w:rsid w:val="00B16E7E"/>
    <w:rsid w:val="00B2413B"/>
    <w:rsid w:val="00B25894"/>
    <w:rsid w:val="00B27610"/>
    <w:rsid w:val="00B276BF"/>
    <w:rsid w:val="00B3709A"/>
    <w:rsid w:val="00B40C25"/>
    <w:rsid w:val="00B434E9"/>
    <w:rsid w:val="00B44742"/>
    <w:rsid w:val="00B4541C"/>
    <w:rsid w:val="00B50D3E"/>
    <w:rsid w:val="00B55E3C"/>
    <w:rsid w:val="00B6230E"/>
    <w:rsid w:val="00B64B52"/>
    <w:rsid w:val="00B654E3"/>
    <w:rsid w:val="00B71597"/>
    <w:rsid w:val="00B71D0E"/>
    <w:rsid w:val="00B73C2C"/>
    <w:rsid w:val="00B754F1"/>
    <w:rsid w:val="00B75E3E"/>
    <w:rsid w:val="00B8573B"/>
    <w:rsid w:val="00B9129C"/>
    <w:rsid w:val="00B912A9"/>
    <w:rsid w:val="00B97E4F"/>
    <w:rsid w:val="00BA28B6"/>
    <w:rsid w:val="00BA65F9"/>
    <w:rsid w:val="00BA796A"/>
    <w:rsid w:val="00BB3DBD"/>
    <w:rsid w:val="00BB7F74"/>
    <w:rsid w:val="00BC1A72"/>
    <w:rsid w:val="00BD2E4A"/>
    <w:rsid w:val="00BD301D"/>
    <w:rsid w:val="00BD4332"/>
    <w:rsid w:val="00BD4B0B"/>
    <w:rsid w:val="00BE0B18"/>
    <w:rsid w:val="00BF0205"/>
    <w:rsid w:val="00BF028A"/>
    <w:rsid w:val="00BF0F11"/>
    <w:rsid w:val="00BF337A"/>
    <w:rsid w:val="00BF3DBE"/>
    <w:rsid w:val="00BF6B48"/>
    <w:rsid w:val="00C02282"/>
    <w:rsid w:val="00C03BD4"/>
    <w:rsid w:val="00C04BCB"/>
    <w:rsid w:val="00C06EF0"/>
    <w:rsid w:val="00C11A24"/>
    <w:rsid w:val="00C11FD7"/>
    <w:rsid w:val="00C152C8"/>
    <w:rsid w:val="00C15796"/>
    <w:rsid w:val="00C15DAB"/>
    <w:rsid w:val="00C1683F"/>
    <w:rsid w:val="00C240F3"/>
    <w:rsid w:val="00C243CD"/>
    <w:rsid w:val="00C25B46"/>
    <w:rsid w:val="00C27B7D"/>
    <w:rsid w:val="00C30939"/>
    <w:rsid w:val="00C30F72"/>
    <w:rsid w:val="00C32195"/>
    <w:rsid w:val="00C37698"/>
    <w:rsid w:val="00C41AF9"/>
    <w:rsid w:val="00C446EE"/>
    <w:rsid w:val="00C45747"/>
    <w:rsid w:val="00C505DC"/>
    <w:rsid w:val="00C50EFA"/>
    <w:rsid w:val="00C51450"/>
    <w:rsid w:val="00C6002E"/>
    <w:rsid w:val="00C6010F"/>
    <w:rsid w:val="00C601AA"/>
    <w:rsid w:val="00C60923"/>
    <w:rsid w:val="00C67D27"/>
    <w:rsid w:val="00C703A4"/>
    <w:rsid w:val="00C72C8E"/>
    <w:rsid w:val="00C749AD"/>
    <w:rsid w:val="00C76C32"/>
    <w:rsid w:val="00C8142A"/>
    <w:rsid w:val="00C8156C"/>
    <w:rsid w:val="00C820DC"/>
    <w:rsid w:val="00C872DC"/>
    <w:rsid w:val="00C8732E"/>
    <w:rsid w:val="00C90753"/>
    <w:rsid w:val="00C92A92"/>
    <w:rsid w:val="00CA0198"/>
    <w:rsid w:val="00CA0B86"/>
    <w:rsid w:val="00CA2C6A"/>
    <w:rsid w:val="00CA43C4"/>
    <w:rsid w:val="00CA7FEA"/>
    <w:rsid w:val="00CB1293"/>
    <w:rsid w:val="00CB1381"/>
    <w:rsid w:val="00CB1E78"/>
    <w:rsid w:val="00CB2AF9"/>
    <w:rsid w:val="00CB4932"/>
    <w:rsid w:val="00CC5963"/>
    <w:rsid w:val="00CC72C1"/>
    <w:rsid w:val="00CD531F"/>
    <w:rsid w:val="00CD5A05"/>
    <w:rsid w:val="00CD6811"/>
    <w:rsid w:val="00CE7993"/>
    <w:rsid w:val="00D00511"/>
    <w:rsid w:val="00D04DF5"/>
    <w:rsid w:val="00D13015"/>
    <w:rsid w:val="00D16ABA"/>
    <w:rsid w:val="00D17D16"/>
    <w:rsid w:val="00D202BC"/>
    <w:rsid w:val="00D210F0"/>
    <w:rsid w:val="00D24E8B"/>
    <w:rsid w:val="00D30198"/>
    <w:rsid w:val="00D3092F"/>
    <w:rsid w:val="00D3515C"/>
    <w:rsid w:val="00D357A9"/>
    <w:rsid w:val="00D3739F"/>
    <w:rsid w:val="00D42988"/>
    <w:rsid w:val="00D43310"/>
    <w:rsid w:val="00D45D0C"/>
    <w:rsid w:val="00D56CFC"/>
    <w:rsid w:val="00D57F3C"/>
    <w:rsid w:val="00D63D3B"/>
    <w:rsid w:val="00D644D5"/>
    <w:rsid w:val="00D649F0"/>
    <w:rsid w:val="00D67F6B"/>
    <w:rsid w:val="00D71EFC"/>
    <w:rsid w:val="00D8617E"/>
    <w:rsid w:val="00D9240A"/>
    <w:rsid w:val="00D92EDB"/>
    <w:rsid w:val="00D9361E"/>
    <w:rsid w:val="00D944E4"/>
    <w:rsid w:val="00D94682"/>
    <w:rsid w:val="00D95101"/>
    <w:rsid w:val="00D9559B"/>
    <w:rsid w:val="00DA370F"/>
    <w:rsid w:val="00DA3A5D"/>
    <w:rsid w:val="00DA3B8D"/>
    <w:rsid w:val="00DA5C81"/>
    <w:rsid w:val="00DB188A"/>
    <w:rsid w:val="00DB1F9F"/>
    <w:rsid w:val="00DB77CC"/>
    <w:rsid w:val="00DB79AD"/>
    <w:rsid w:val="00DC14FC"/>
    <w:rsid w:val="00DC2AA2"/>
    <w:rsid w:val="00DC6577"/>
    <w:rsid w:val="00DD0255"/>
    <w:rsid w:val="00DD256F"/>
    <w:rsid w:val="00DD3B1C"/>
    <w:rsid w:val="00DD484B"/>
    <w:rsid w:val="00DD619D"/>
    <w:rsid w:val="00DD7134"/>
    <w:rsid w:val="00DE7525"/>
    <w:rsid w:val="00DF1070"/>
    <w:rsid w:val="00DF509D"/>
    <w:rsid w:val="00DF6C6B"/>
    <w:rsid w:val="00E00605"/>
    <w:rsid w:val="00E042FB"/>
    <w:rsid w:val="00E055F0"/>
    <w:rsid w:val="00E11D14"/>
    <w:rsid w:val="00E139D0"/>
    <w:rsid w:val="00E13AFA"/>
    <w:rsid w:val="00E160CA"/>
    <w:rsid w:val="00E16ADC"/>
    <w:rsid w:val="00E171BB"/>
    <w:rsid w:val="00E20340"/>
    <w:rsid w:val="00E3480A"/>
    <w:rsid w:val="00E34D1F"/>
    <w:rsid w:val="00E36A45"/>
    <w:rsid w:val="00E419C8"/>
    <w:rsid w:val="00E41C6E"/>
    <w:rsid w:val="00E41F40"/>
    <w:rsid w:val="00E43D3D"/>
    <w:rsid w:val="00E4539A"/>
    <w:rsid w:val="00E54726"/>
    <w:rsid w:val="00E57D2E"/>
    <w:rsid w:val="00E6043D"/>
    <w:rsid w:val="00E616B6"/>
    <w:rsid w:val="00E62646"/>
    <w:rsid w:val="00E62E61"/>
    <w:rsid w:val="00E65CAC"/>
    <w:rsid w:val="00E67D5A"/>
    <w:rsid w:val="00E707C5"/>
    <w:rsid w:val="00E732F7"/>
    <w:rsid w:val="00E73513"/>
    <w:rsid w:val="00E7783D"/>
    <w:rsid w:val="00E81B46"/>
    <w:rsid w:val="00E8248D"/>
    <w:rsid w:val="00E842CC"/>
    <w:rsid w:val="00E877C1"/>
    <w:rsid w:val="00E9009F"/>
    <w:rsid w:val="00E90D65"/>
    <w:rsid w:val="00E92F58"/>
    <w:rsid w:val="00E9320A"/>
    <w:rsid w:val="00E94B0E"/>
    <w:rsid w:val="00E94D8E"/>
    <w:rsid w:val="00E96D92"/>
    <w:rsid w:val="00EA0B77"/>
    <w:rsid w:val="00EB5F46"/>
    <w:rsid w:val="00EC1048"/>
    <w:rsid w:val="00EC1A4C"/>
    <w:rsid w:val="00EC78D7"/>
    <w:rsid w:val="00ED0DCE"/>
    <w:rsid w:val="00ED7476"/>
    <w:rsid w:val="00ED7695"/>
    <w:rsid w:val="00ED7F8B"/>
    <w:rsid w:val="00EE211E"/>
    <w:rsid w:val="00EF40AD"/>
    <w:rsid w:val="00EF49AD"/>
    <w:rsid w:val="00EF5362"/>
    <w:rsid w:val="00EF5494"/>
    <w:rsid w:val="00EF6B6E"/>
    <w:rsid w:val="00F01188"/>
    <w:rsid w:val="00F02A42"/>
    <w:rsid w:val="00F02A6B"/>
    <w:rsid w:val="00F04265"/>
    <w:rsid w:val="00F07C79"/>
    <w:rsid w:val="00F12A9C"/>
    <w:rsid w:val="00F13DB1"/>
    <w:rsid w:val="00F17C2C"/>
    <w:rsid w:val="00F26850"/>
    <w:rsid w:val="00F26A17"/>
    <w:rsid w:val="00F31983"/>
    <w:rsid w:val="00F3323A"/>
    <w:rsid w:val="00F3561F"/>
    <w:rsid w:val="00F36239"/>
    <w:rsid w:val="00F36C80"/>
    <w:rsid w:val="00F400B4"/>
    <w:rsid w:val="00F42F70"/>
    <w:rsid w:val="00F45153"/>
    <w:rsid w:val="00F500C2"/>
    <w:rsid w:val="00F63655"/>
    <w:rsid w:val="00F63EC4"/>
    <w:rsid w:val="00F64A95"/>
    <w:rsid w:val="00F65560"/>
    <w:rsid w:val="00F70234"/>
    <w:rsid w:val="00F74C0E"/>
    <w:rsid w:val="00F8169F"/>
    <w:rsid w:val="00F849E9"/>
    <w:rsid w:val="00F850C0"/>
    <w:rsid w:val="00F85337"/>
    <w:rsid w:val="00F9156B"/>
    <w:rsid w:val="00F926D5"/>
    <w:rsid w:val="00F975D6"/>
    <w:rsid w:val="00F97E29"/>
    <w:rsid w:val="00FA17DC"/>
    <w:rsid w:val="00FA4874"/>
    <w:rsid w:val="00FA4915"/>
    <w:rsid w:val="00FA6C92"/>
    <w:rsid w:val="00FB02CE"/>
    <w:rsid w:val="00FC47FC"/>
    <w:rsid w:val="00FC64B5"/>
    <w:rsid w:val="00FD1D7E"/>
    <w:rsid w:val="00FD7424"/>
    <w:rsid w:val="00FE0F51"/>
    <w:rsid w:val="00FE45B7"/>
    <w:rsid w:val="00FE648E"/>
    <w:rsid w:val="00FF0F87"/>
    <w:rsid w:val="00FF2BE7"/>
    <w:rsid w:val="00FF4F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305764C"/>
  <w15:docId w15:val="{3336D3DD-C0E0-4CE4-B8B2-23BF3B07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9C"/>
    <w:pPr>
      <w:spacing w:after="0" w:line="276" w:lineRule="auto"/>
      <w:jc w:val="both"/>
    </w:pPr>
    <w:rPr>
      <w:rFonts w:ascii="Verdana" w:hAnsi="Verdana"/>
      <w:sz w:val="20"/>
    </w:rPr>
  </w:style>
  <w:style w:type="paragraph" w:styleId="Heading1">
    <w:name w:val="heading 1"/>
    <w:basedOn w:val="Normal"/>
    <w:next w:val="Normal"/>
    <w:link w:val="Heading1Char"/>
    <w:uiPriority w:val="9"/>
    <w:qFormat/>
    <w:rsid w:val="00C25B46"/>
    <w:pPr>
      <w:keepNext/>
      <w:keepLines/>
      <w:spacing w:before="240"/>
      <w:jc w:val="center"/>
      <w:outlineLvl w:val="0"/>
    </w:pPr>
    <w:rPr>
      <w:rFonts w:eastAsiaTheme="majorEastAsia" w:cstheme="majorBidi"/>
      <w:sz w:val="32"/>
      <w:szCs w:val="32"/>
      <w:u w:val="single"/>
    </w:rPr>
  </w:style>
  <w:style w:type="paragraph" w:styleId="Heading2">
    <w:name w:val="heading 2"/>
    <w:basedOn w:val="Normal"/>
    <w:next w:val="Normal"/>
    <w:link w:val="Heading2Char"/>
    <w:uiPriority w:val="9"/>
    <w:unhideWhenUsed/>
    <w:qFormat/>
    <w:rsid w:val="00C25B46"/>
    <w:pPr>
      <w:keepNext/>
      <w:keepLines/>
      <w:spacing w:before="40"/>
      <w:jc w:val="center"/>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E6D25"/>
    <w:pPr>
      <w:keepNext/>
      <w:keepLines/>
      <w:spacing w:before="2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2D680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D680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B46"/>
    <w:rPr>
      <w:rFonts w:ascii="Verdana" w:eastAsiaTheme="majorEastAsia" w:hAnsi="Verdana" w:cstheme="majorBidi"/>
      <w:sz w:val="32"/>
      <w:szCs w:val="32"/>
      <w:u w:val="single"/>
    </w:rPr>
  </w:style>
  <w:style w:type="character" w:customStyle="1" w:styleId="Heading2Char">
    <w:name w:val="Heading 2 Char"/>
    <w:basedOn w:val="DefaultParagraphFont"/>
    <w:link w:val="Heading2"/>
    <w:uiPriority w:val="9"/>
    <w:rsid w:val="00C25B46"/>
    <w:rPr>
      <w:rFonts w:ascii="Verdana" w:eastAsiaTheme="majorEastAsia" w:hAnsi="Verdana" w:cstheme="majorBidi"/>
      <w:sz w:val="28"/>
      <w:szCs w:val="26"/>
    </w:rPr>
  </w:style>
  <w:style w:type="character" w:customStyle="1" w:styleId="Heading3Char">
    <w:name w:val="Heading 3 Char"/>
    <w:basedOn w:val="DefaultParagraphFont"/>
    <w:link w:val="Heading3"/>
    <w:uiPriority w:val="9"/>
    <w:rsid w:val="001E6D25"/>
    <w:rPr>
      <w:rFonts w:ascii="Verdana" w:eastAsiaTheme="majorEastAsia" w:hAnsi="Verdana" w:cstheme="majorBidi"/>
      <w:sz w:val="24"/>
      <w:szCs w:val="24"/>
      <w:u w:val="single"/>
    </w:rPr>
  </w:style>
  <w:style w:type="character" w:customStyle="1" w:styleId="Heading4Char">
    <w:name w:val="Heading 4 Char"/>
    <w:basedOn w:val="DefaultParagraphFont"/>
    <w:link w:val="Heading4"/>
    <w:uiPriority w:val="9"/>
    <w:rsid w:val="002D680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D6809"/>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C25B46"/>
    <w:pPr>
      <w:spacing w:line="240" w:lineRule="auto"/>
      <w:contextualSpacing/>
    </w:pPr>
    <w:rPr>
      <w:rFonts w:eastAsiaTheme="majorEastAsia" w:cstheme="majorBidi"/>
      <w:b/>
      <w:spacing w:val="-10"/>
      <w:kern w:val="28"/>
      <w:sz w:val="36"/>
      <w:szCs w:val="56"/>
      <w:u w:val="single"/>
    </w:rPr>
  </w:style>
  <w:style w:type="character" w:customStyle="1" w:styleId="TitleChar">
    <w:name w:val="Title Char"/>
    <w:basedOn w:val="DefaultParagraphFont"/>
    <w:link w:val="Title"/>
    <w:uiPriority w:val="10"/>
    <w:rsid w:val="00C25B46"/>
    <w:rPr>
      <w:rFonts w:ascii="Verdana" w:eastAsiaTheme="majorEastAsia" w:hAnsi="Verdana" w:cstheme="majorBidi"/>
      <w:b/>
      <w:spacing w:val="-10"/>
      <w:kern w:val="28"/>
      <w:sz w:val="36"/>
      <w:szCs w:val="56"/>
      <w:u w:val="single"/>
    </w:rPr>
  </w:style>
  <w:style w:type="paragraph" w:styleId="Header">
    <w:name w:val="header"/>
    <w:basedOn w:val="Normal"/>
    <w:link w:val="HeaderChar"/>
    <w:uiPriority w:val="99"/>
    <w:unhideWhenUsed/>
    <w:rsid w:val="002A0232"/>
    <w:pPr>
      <w:tabs>
        <w:tab w:val="center" w:pos="4513"/>
        <w:tab w:val="right" w:pos="9026"/>
      </w:tabs>
      <w:spacing w:line="240" w:lineRule="auto"/>
    </w:pPr>
  </w:style>
  <w:style w:type="character" w:customStyle="1" w:styleId="HeaderChar">
    <w:name w:val="Header Char"/>
    <w:basedOn w:val="DefaultParagraphFont"/>
    <w:link w:val="Header"/>
    <w:uiPriority w:val="99"/>
    <w:rsid w:val="002A0232"/>
  </w:style>
  <w:style w:type="paragraph" w:styleId="Footer">
    <w:name w:val="footer"/>
    <w:basedOn w:val="Normal"/>
    <w:link w:val="FooterChar"/>
    <w:uiPriority w:val="99"/>
    <w:unhideWhenUsed/>
    <w:rsid w:val="002A0232"/>
    <w:pPr>
      <w:tabs>
        <w:tab w:val="center" w:pos="4513"/>
        <w:tab w:val="right" w:pos="9026"/>
      </w:tabs>
      <w:spacing w:line="240" w:lineRule="auto"/>
    </w:pPr>
  </w:style>
  <w:style w:type="character" w:customStyle="1" w:styleId="FooterChar">
    <w:name w:val="Footer Char"/>
    <w:basedOn w:val="DefaultParagraphFont"/>
    <w:link w:val="Footer"/>
    <w:uiPriority w:val="99"/>
    <w:rsid w:val="002A0232"/>
  </w:style>
  <w:style w:type="character" w:customStyle="1" w:styleId="BalloonTextChar">
    <w:name w:val="Balloon Text Char"/>
    <w:basedOn w:val="DefaultParagraphFont"/>
    <w:link w:val="BalloonText"/>
    <w:uiPriority w:val="99"/>
    <w:semiHidden/>
    <w:rsid w:val="002D6809"/>
    <w:rPr>
      <w:rFonts w:ascii="Tahoma" w:eastAsia="MS Mincho" w:hAnsi="Tahoma" w:cs="Tahoma"/>
      <w:sz w:val="16"/>
      <w:szCs w:val="16"/>
      <w:lang w:val="en-US"/>
    </w:rPr>
  </w:style>
  <w:style w:type="paragraph" w:styleId="BalloonText">
    <w:name w:val="Balloon Text"/>
    <w:basedOn w:val="Normal"/>
    <w:link w:val="BalloonTextChar"/>
    <w:uiPriority w:val="99"/>
    <w:semiHidden/>
    <w:unhideWhenUsed/>
    <w:rsid w:val="002D6809"/>
    <w:pPr>
      <w:spacing w:line="240" w:lineRule="auto"/>
    </w:pPr>
    <w:rPr>
      <w:rFonts w:ascii="Tahoma" w:eastAsia="MS Mincho" w:hAnsi="Tahoma" w:cs="Tahoma"/>
      <w:sz w:val="16"/>
      <w:szCs w:val="16"/>
      <w:lang w:val="en-US"/>
    </w:rPr>
  </w:style>
  <w:style w:type="paragraph" w:styleId="ListParagraph">
    <w:name w:val="List Paragraph"/>
    <w:basedOn w:val="Normal"/>
    <w:link w:val="ListParagraphChar"/>
    <w:uiPriority w:val="34"/>
    <w:qFormat/>
    <w:rsid w:val="002D6809"/>
    <w:pPr>
      <w:spacing w:line="240" w:lineRule="auto"/>
      <w:ind w:left="720"/>
      <w:contextualSpacing/>
    </w:pPr>
    <w:rPr>
      <w:rFonts w:ascii="Cambria" w:eastAsia="MS Mincho" w:hAnsi="Cambria" w:cs="Times New Roman"/>
      <w:sz w:val="24"/>
      <w:szCs w:val="24"/>
      <w:lang w:val="en-US"/>
    </w:rPr>
  </w:style>
  <w:style w:type="character" w:customStyle="1" w:styleId="CommentTextChar">
    <w:name w:val="Comment Text Char"/>
    <w:basedOn w:val="DefaultParagraphFont"/>
    <w:link w:val="CommentText"/>
    <w:uiPriority w:val="99"/>
    <w:semiHidden/>
    <w:rsid w:val="002D6809"/>
    <w:rPr>
      <w:rFonts w:ascii="Cambria" w:eastAsia="MS Mincho" w:hAnsi="Cambria" w:cs="Times New Roman"/>
      <w:sz w:val="20"/>
      <w:szCs w:val="20"/>
      <w:lang w:val="en-US"/>
    </w:rPr>
  </w:style>
  <w:style w:type="paragraph" w:styleId="CommentText">
    <w:name w:val="annotation text"/>
    <w:basedOn w:val="Normal"/>
    <w:link w:val="CommentTextChar"/>
    <w:uiPriority w:val="99"/>
    <w:semiHidden/>
    <w:unhideWhenUsed/>
    <w:rsid w:val="002D6809"/>
    <w:pPr>
      <w:spacing w:line="240" w:lineRule="auto"/>
    </w:pPr>
    <w:rPr>
      <w:rFonts w:ascii="Cambria" w:eastAsia="MS Mincho" w:hAnsi="Cambria" w:cs="Times New Roman"/>
      <w:szCs w:val="20"/>
      <w:lang w:val="en-US"/>
    </w:rPr>
  </w:style>
  <w:style w:type="character" w:customStyle="1" w:styleId="CommentSubjectChar">
    <w:name w:val="Comment Subject Char"/>
    <w:basedOn w:val="CommentTextChar"/>
    <w:link w:val="CommentSubject"/>
    <w:uiPriority w:val="99"/>
    <w:semiHidden/>
    <w:rsid w:val="002D6809"/>
    <w:rPr>
      <w:rFonts w:ascii="Cambria" w:eastAsia="MS Mincho" w:hAnsi="Cambria"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2D6809"/>
    <w:rPr>
      <w:b/>
      <w:bCs/>
    </w:rPr>
  </w:style>
  <w:style w:type="paragraph" w:styleId="TOC2">
    <w:name w:val="toc 2"/>
    <w:basedOn w:val="Normal"/>
    <w:next w:val="Normal"/>
    <w:autoRedefine/>
    <w:uiPriority w:val="39"/>
    <w:unhideWhenUsed/>
    <w:qFormat/>
    <w:rsid w:val="00473699"/>
    <w:pPr>
      <w:tabs>
        <w:tab w:val="right" w:leader="dot" w:pos="9016"/>
      </w:tabs>
      <w:spacing w:after="100"/>
      <w:ind w:left="220"/>
    </w:pPr>
    <w:rPr>
      <w:rFonts w:eastAsiaTheme="minorEastAsia"/>
      <w:lang w:val="en-US" w:eastAsia="ja-JP"/>
    </w:rPr>
  </w:style>
  <w:style w:type="paragraph" w:styleId="TOC1">
    <w:name w:val="toc 1"/>
    <w:basedOn w:val="Normal"/>
    <w:next w:val="Normal"/>
    <w:autoRedefine/>
    <w:uiPriority w:val="39"/>
    <w:unhideWhenUsed/>
    <w:qFormat/>
    <w:rsid w:val="005A42C4"/>
    <w:pPr>
      <w:tabs>
        <w:tab w:val="right" w:leader="dot" w:pos="9016"/>
      </w:tabs>
      <w:spacing w:after="100"/>
    </w:pPr>
    <w:rPr>
      <w:rFonts w:eastAsiaTheme="minorEastAsia"/>
      <w:lang w:val="en-US" w:eastAsia="ja-JP"/>
    </w:rPr>
  </w:style>
  <w:style w:type="paragraph" w:styleId="TOC3">
    <w:name w:val="toc 3"/>
    <w:basedOn w:val="Normal"/>
    <w:next w:val="Normal"/>
    <w:autoRedefine/>
    <w:uiPriority w:val="39"/>
    <w:unhideWhenUsed/>
    <w:qFormat/>
    <w:rsid w:val="00473699"/>
    <w:pPr>
      <w:tabs>
        <w:tab w:val="left" w:pos="880"/>
        <w:tab w:val="right" w:leader="dot" w:pos="9016"/>
      </w:tabs>
      <w:spacing w:after="80" w:line="240" w:lineRule="auto"/>
      <w:ind w:left="440"/>
    </w:pPr>
    <w:rPr>
      <w:rFonts w:eastAsiaTheme="minorEastAsia"/>
      <w:lang w:val="en-US" w:eastAsia="ja-JP"/>
    </w:rPr>
  </w:style>
  <w:style w:type="paragraph" w:customStyle="1" w:styleId="Default">
    <w:name w:val="Default"/>
    <w:rsid w:val="002D6809"/>
    <w:pPr>
      <w:autoSpaceDE w:val="0"/>
      <w:autoSpaceDN w:val="0"/>
      <w:adjustRightInd w:val="0"/>
      <w:spacing w:after="0" w:line="240" w:lineRule="auto"/>
    </w:pPr>
    <w:rPr>
      <w:rFonts w:ascii="Times New Roman" w:eastAsia="MS Mincho" w:hAnsi="Times New Roman" w:cs="Times New Roman"/>
      <w:color w:val="000000"/>
      <w:sz w:val="24"/>
      <w:szCs w:val="24"/>
      <w:lang w:val="en-GB" w:eastAsia="en-GB"/>
    </w:rPr>
  </w:style>
  <w:style w:type="character" w:styleId="Emphasis">
    <w:name w:val="Emphasis"/>
    <w:basedOn w:val="DefaultParagraphFont"/>
    <w:uiPriority w:val="20"/>
    <w:qFormat/>
    <w:rsid w:val="002D6809"/>
    <w:rPr>
      <w:i/>
      <w:iCs/>
    </w:rPr>
  </w:style>
  <w:style w:type="paragraph" w:styleId="FootnoteText">
    <w:name w:val="footnote text"/>
    <w:basedOn w:val="Normal"/>
    <w:link w:val="FootnoteTextChar"/>
    <w:uiPriority w:val="99"/>
    <w:semiHidden/>
    <w:unhideWhenUsed/>
    <w:rsid w:val="002D6809"/>
    <w:pPr>
      <w:spacing w:line="240" w:lineRule="auto"/>
    </w:pPr>
    <w:rPr>
      <w:rFonts w:ascii="Cambria" w:eastAsia="MS Mincho" w:hAnsi="Cambria" w:cs="Times New Roman"/>
      <w:szCs w:val="20"/>
      <w:lang w:val="en-US"/>
    </w:rPr>
  </w:style>
  <w:style w:type="character" w:customStyle="1" w:styleId="FootnoteTextChar">
    <w:name w:val="Footnote Text Char"/>
    <w:basedOn w:val="DefaultParagraphFont"/>
    <w:link w:val="FootnoteText"/>
    <w:uiPriority w:val="99"/>
    <w:semiHidden/>
    <w:rsid w:val="002D6809"/>
    <w:rPr>
      <w:rFonts w:ascii="Cambria" w:eastAsia="MS Mincho" w:hAnsi="Cambria" w:cs="Times New Roman"/>
      <w:sz w:val="20"/>
      <w:szCs w:val="20"/>
      <w:lang w:val="en-US"/>
    </w:rPr>
  </w:style>
  <w:style w:type="character" w:styleId="FootnoteReference">
    <w:name w:val="footnote reference"/>
    <w:basedOn w:val="DefaultParagraphFont"/>
    <w:uiPriority w:val="99"/>
    <w:semiHidden/>
    <w:unhideWhenUsed/>
    <w:rsid w:val="002D6809"/>
    <w:rPr>
      <w:vertAlign w:val="superscript"/>
    </w:rPr>
  </w:style>
  <w:style w:type="table" w:styleId="TableGrid">
    <w:name w:val="Table Grid"/>
    <w:basedOn w:val="TableNormal"/>
    <w:uiPriority w:val="39"/>
    <w:rsid w:val="0077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FBB"/>
    <w:rPr>
      <w:color w:val="0563C1" w:themeColor="hyperlink"/>
      <w:u w:val="single"/>
    </w:rPr>
  </w:style>
  <w:style w:type="paragraph" w:styleId="TOC4">
    <w:name w:val="toc 4"/>
    <w:basedOn w:val="Normal"/>
    <w:next w:val="Normal"/>
    <w:autoRedefine/>
    <w:uiPriority w:val="39"/>
    <w:semiHidden/>
    <w:unhideWhenUsed/>
    <w:rsid w:val="00941FBB"/>
    <w:pPr>
      <w:spacing w:after="100"/>
      <w:ind w:left="600"/>
    </w:pPr>
  </w:style>
  <w:style w:type="character" w:styleId="CommentReference">
    <w:name w:val="annotation reference"/>
    <w:basedOn w:val="DefaultParagraphFont"/>
    <w:uiPriority w:val="99"/>
    <w:semiHidden/>
    <w:unhideWhenUsed/>
    <w:rsid w:val="001E4DAE"/>
    <w:rPr>
      <w:sz w:val="16"/>
      <w:szCs w:val="16"/>
    </w:rPr>
  </w:style>
  <w:style w:type="paragraph" w:styleId="Revision">
    <w:name w:val="Revision"/>
    <w:hidden/>
    <w:uiPriority w:val="99"/>
    <w:semiHidden/>
    <w:rsid w:val="00E13AFA"/>
    <w:pPr>
      <w:spacing w:after="0" w:line="240" w:lineRule="auto"/>
    </w:pPr>
    <w:rPr>
      <w:rFonts w:ascii="Verdana" w:hAnsi="Verdana"/>
      <w:sz w:val="20"/>
    </w:rPr>
  </w:style>
  <w:style w:type="character" w:styleId="FollowedHyperlink">
    <w:name w:val="FollowedHyperlink"/>
    <w:basedOn w:val="DefaultParagraphFont"/>
    <w:uiPriority w:val="99"/>
    <w:semiHidden/>
    <w:unhideWhenUsed/>
    <w:rsid w:val="008A586C"/>
    <w:rPr>
      <w:color w:val="954F72" w:themeColor="followedHyperlink"/>
      <w:u w:val="single"/>
    </w:rPr>
  </w:style>
  <w:style w:type="character" w:customStyle="1" w:styleId="BalloonTextChar1">
    <w:name w:val="Balloon Text Char1"/>
    <w:basedOn w:val="DefaultParagraphFont"/>
    <w:uiPriority w:val="99"/>
    <w:semiHidden/>
    <w:rsid w:val="0098031C"/>
    <w:rPr>
      <w:rFonts w:ascii="Segoe UI" w:hAnsi="Segoe UI" w:cs="Segoe UI"/>
      <w:sz w:val="18"/>
      <w:szCs w:val="18"/>
    </w:rPr>
  </w:style>
  <w:style w:type="character" w:customStyle="1" w:styleId="ListParagraphChar">
    <w:name w:val="List Paragraph Char"/>
    <w:basedOn w:val="DefaultParagraphFont"/>
    <w:link w:val="ListParagraph"/>
    <w:uiPriority w:val="34"/>
    <w:rsid w:val="00F26A17"/>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4736">
      <w:bodyDiv w:val="1"/>
      <w:marLeft w:val="0"/>
      <w:marRight w:val="0"/>
      <w:marTop w:val="0"/>
      <w:marBottom w:val="0"/>
      <w:divBdr>
        <w:top w:val="none" w:sz="0" w:space="0" w:color="auto"/>
        <w:left w:val="none" w:sz="0" w:space="0" w:color="auto"/>
        <w:bottom w:val="none" w:sz="0" w:space="0" w:color="auto"/>
        <w:right w:val="none" w:sz="0" w:space="0" w:color="auto"/>
      </w:divBdr>
    </w:div>
    <w:div w:id="304699469">
      <w:bodyDiv w:val="1"/>
      <w:marLeft w:val="0"/>
      <w:marRight w:val="0"/>
      <w:marTop w:val="0"/>
      <w:marBottom w:val="0"/>
      <w:divBdr>
        <w:top w:val="none" w:sz="0" w:space="0" w:color="auto"/>
        <w:left w:val="none" w:sz="0" w:space="0" w:color="auto"/>
        <w:bottom w:val="none" w:sz="0" w:space="0" w:color="auto"/>
        <w:right w:val="none" w:sz="0" w:space="0" w:color="auto"/>
      </w:divBdr>
    </w:div>
    <w:div w:id="394011604">
      <w:bodyDiv w:val="1"/>
      <w:marLeft w:val="0"/>
      <w:marRight w:val="0"/>
      <w:marTop w:val="0"/>
      <w:marBottom w:val="0"/>
      <w:divBdr>
        <w:top w:val="none" w:sz="0" w:space="0" w:color="auto"/>
        <w:left w:val="none" w:sz="0" w:space="0" w:color="auto"/>
        <w:bottom w:val="none" w:sz="0" w:space="0" w:color="auto"/>
        <w:right w:val="none" w:sz="0" w:space="0" w:color="auto"/>
      </w:divBdr>
    </w:div>
    <w:div w:id="446703159">
      <w:bodyDiv w:val="1"/>
      <w:marLeft w:val="0"/>
      <w:marRight w:val="0"/>
      <w:marTop w:val="0"/>
      <w:marBottom w:val="0"/>
      <w:divBdr>
        <w:top w:val="none" w:sz="0" w:space="0" w:color="auto"/>
        <w:left w:val="none" w:sz="0" w:space="0" w:color="auto"/>
        <w:bottom w:val="none" w:sz="0" w:space="0" w:color="auto"/>
        <w:right w:val="none" w:sz="0" w:space="0" w:color="auto"/>
      </w:divBdr>
    </w:div>
    <w:div w:id="508253856">
      <w:bodyDiv w:val="1"/>
      <w:marLeft w:val="0"/>
      <w:marRight w:val="0"/>
      <w:marTop w:val="0"/>
      <w:marBottom w:val="0"/>
      <w:divBdr>
        <w:top w:val="none" w:sz="0" w:space="0" w:color="auto"/>
        <w:left w:val="none" w:sz="0" w:space="0" w:color="auto"/>
        <w:bottom w:val="none" w:sz="0" w:space="0" w:color="auto"/>
        <w:right w:val="none" w:sz="0" w:space="0" w:color="auto"/>
      </w:divBdr>
    </w:div>
    <w:div w:id="575555740">
      <w:bodyDiv w:val="1"/>
      <w:marLeft w:val="0"/>
      <w:marRight w:val="0"/>
      <w:marTop w:val="0"/>
      <w:marBottom w:val="0"/>
      <w:divBdr>
        <w:top w:val="none" w:sz="0" w:space="0" w:color="auto"/>
        <w:left w:val="none" w:sz="0" w:space="0" w:color="auto"/>
        <w:bottom w:val="none" w:sz="0" w:space="0" w:color="auto"/>
        <w:right w:val="none" w:sz="0" w:space="0" w:color="auto"/>
      </w:divBdr>
    </w:div>
    <w:div w:id="623998890">
      <w:bodyDiv w:val="1"/>
      <w:marLeft w:val="0"/>
      <w:marRight w:val="0"/>
      <w:marTop w:val="0"/>
      <w:marBottom w:val="0"/>
      <w:divBdr>
        <w:top w:val="none" w:sz="0" w:space="0" w:color="auto"/>
        <w:left w:val="none" w:sz="0" w:space="0" w:color="auto"/>
        <w:bottom w:val="none" w:sz="0" w:space="0" w:color="auto"/>
        <w:right w:val="none" w:sz="0" w:space="0" w:color="auto"/>
      </w:divBdr>
    </w:div>
    <w:div w:id="778648177">
      <w:bodyDiv w:val="1"/>
      <w:marLeft w:val="0"/>
      <w:marRight w:val="0"/>
      <w:marTop w:val="0"/>
      <w:marBottom w:val="0"/>
      <w:divBdr>
        <w:top w:val="none" w:sz="0" w:space="0" w:color="auto"/>
        <w:left w:val="none" w:sz="0" w:space="0" w:color="auto"/>
        <w:bottom w:val="none" w:sz="0" w:space="0" w:color="auto"/>
        <w:right w:val="none" w:sz="0" w:space="0" w:color="auto"/>
      </w:divBdr>
    </w:div>
    <w:div w:id="861670837">
      <w:bodyDiv w:val="1"/>
      <w:marLeft w:val="0"/>
      <w:marRight w:val="0"/>
      <w:marTop w:val="0"/>
      <w:marBottom w:val="0"/>
      <w:divBdr>
        <w:top w:val="none" w:sz="0" w:space="0" w:color="auto"/>
        <w:left w:val="none" w:sz="0" w:space="0" w:color="auto"/>
        <w:bottom w:val="none" w:sz="0" w:space="0" w:color="auto"/>
        <w:right w:val="none" w:sz="0" w:space="0" w:color="auto"/>
      </w:divBdr>
    </w:div>
    <w:div w:id="905609167">
      <w:bodyDiv w:val="1"/>
      <w:marLeft w:val="0"/>
      <w:marRight w:val="0"/>
      <w:marTop w:val="0"/>
      <w:marBottom w:val="0"/>
      <w:divBdr>
        <w:top w:val="none" w:sz="0" w:space="0" w:color="auto"/>
        <w:left w:val="none" w:sz="0" w:space="0" w:color="auto"/>
        <w:bottom w:val="none" w:sz="0" w:space="0" w:color="auto"/>
        <w:right w:val="none" w:sz="0" w:space="0" w:color="auto"/>
      </w:divBdr>
    </w:div>
    <w:div w:id="964963560">
      <w:bodyDiv w:val="1"/>
      <w:marLeft w:val="0"/>
      <w:marRight w:val="0"/>
      <w:marTop w:val="0"/>
      <w:marBottom w:val="0"/>
      <w:divBdr>
        <w:top w:val="none" w:sz="0" w:space="0" w:color="auto"/>
        <w:left w:val="none" w:sz="0" w:space="0" w:color="auto"/>
        <w:bottom w:val="none" w:sz="0" w:space="0" w:color="auto"/>
        <w:right w:val="none" w:sz="0" w:space="0" w:color="auto"/>
      </w:divBdr>
    </w:div>
    <w:div w:id="1059207168">
      <w:bodyDiv w:val="1"/>
      <w:marLeft w:val="0"/>
      <w:marRight w:val="0"/>
      <w:marTop w:val="0"/>
      <w:marBottom w:val="0"/>
      <w:divBdr>
        <w:top w:val="none" w:sz="0" w:space="0" w:color="auto"/>
        <w:left w:val="none" w:sz="0" w:space="0" w:color="auto"/>
        <w:bottom w:val="none" w:sz="0" w:space="0" w:color="auto"/>
        <w:right w:val="none" w:sz="0" w:space="0" w:color="auto"/>
      </w:divBdr>
    </w:div>
    <w:div w:id="1206680415">
      <w:bodyDiv w:val="1"/>
      <w:marLeft w:val="0"/>
      <w:marRight w:val="0"/>
      <w:marTop w:val="0"/>
      <w:marBottom w:val="0"/>
      <w:divBdr>
        <w:top w:val="none" w:sz="0" w:space="0" w:color="auto"/>
        <w:left w:val="none" w:sz="0" w:space="0" w:color="auto"/>
        <w:bottom w:val="none" w:sz="0" w:space="0" w:color="auto"/>
        <w:right w:val="none" w:sz="0" w:space="0" w:color="auto"/>
      </w:divBdr>
    </w:div>
    <w:div w:id="1235623271">
      <w:bodyDiv w:val="1"/>
      <w:marLeft w:val="0"/>
      <w:marRight w:val="0"/>
      <w:marTop w:val="0"/>
      <w:marBottom w:val="0"/>
      <w:divBdr>
        <w:top w:val="none" w:sz="0" w:space="0" w:color="auto"/>
        <w:left w:val="none" w:sz="0" w:space="0" w:color="auto"/>
        <w:bottom w:val="none" w:sz="0" w:space="0" w:color="auto"/>
        <w:right w:val="none" w:sz="0" w:space="0" w:color="auto"/>
      </w:divBdr>
    </w:div>
    <w:div w:id="1237057920">
      <w:bodyDiv w:val="1"/>
      <w:marLeft w:val="0"/>
      <w:marRight w:val="0"/>
      <w:marTop w:val="0"/>
      <w:marBottom w:val="0"/>
      <w:divBdr>
        <w:top w:val="none" w:sz="0" w:space="0" w:color="auto"/>
        <w:left w:val="none" w:sz="0" w:space="0" w:color="auto"/>
        <w:bottom w:val="none" w:sz="0" w:space="0" w:color="auto"/>
        <w:right w:val="none" w:sz="0" w:space="0" w:color="auto"/>
      </w:divBdr>
    </w:div>
    <w:div w:id="1300844244">
      <w:bodyDiv w:val="1"/>
      <w:marLeft w:val="0"/>
      <w:marRight w:val="0"/>
      <w:marTop w:val="0"/>
      <w:marBottom w:val="0"/>
      <w:divBdr>
        <w:top w:val="none" w:sz="0" w:space="0" w:color="auto"/>
        <w:left w:val="none" w:sz="0" w:space="0" w:color="auto"/>
        <w:bottom w:val="none" w:sz="0" w:space="0" w:color="auto"/>
        <w:right w:val="none" w:sz="0" w:space="0" w:color="auto"/>
      </w:divBdr>
    </w:div>
    <w:div w:id="1357540737">
      <w:bodyDiv w:val="1"/>
      <w:marLeft w:val="0"/>
      <w:marRight w:val="0"/>
      <w:marTop w:val="0"/>
      <w:marBottom w:val="0"/>
      <w:divBdr>
        <w:top w:val="none" w:sz="0" w:space="0" w:color="auto"/>
        <w:left w:val="none" w:sz="0" w:space="0" w:color="auto"/>
        <w:bottom w:val="none" w:sz="0" w:space="0" w:color="auto"/>
        <w:right w:val="none" w:sz="0" w:space="0" w:color="auto"/>
      </w:divBdr>
    </w:div>
    <w:div w:id="1360164573">
      <w:bodyDiv w:val="1"/>
      <w:marLeft w:val="0"/>
      <w:marRight w:val="0"/>
      <w:marTop w:val="0"/>
      <w:marBottom w:val="0"/>
      <w:divBdr>
        <w:top w:val="none" w:sz="0" w:space="0" w:color="auto"/>
        <w:left w:val="none" w:sz="0" w:space="0" w:color="auto"/>
        <w:bottom w:val="none" w:sz="0" w:space="0" w:color="auto"/>
        <w:right w:val="none" w:sz="0" w:space="0" w:color="auto"/>
      </w:divBdr>
    </w:div>
    <w:div w:id="1404402991">
      <w:bodyDiv w:val="1"/>
      <w:marLeft w:val="0"/>
      <w:marRight w:val="0"/>
      <w:marTop w:val="0"/>
      <w:marBottom w:val="0"/>
      <w:divBdr>
        <w:top w:val="none" w:sz="0" w:space="0" w:color="auto"/>
        <w:left w:val="none" w:sz="0" w:space="0" w:color="auto"/>
        <w:bottom w:val="none" w:sz="0" w:space="0" w:color="auto"/>
        <w:right w:val="none" w:sz="0" w:space="0" w:color="auto"/>
      </w:divBdr>
    </w:div>
    <w:div w:id="1412581649">
      <w:bodyDiv w:val="1"/>
      <w:marLeft w:val="0"/>
      <w:marRight w:val="0"/>
      <w:marTop w:val="0"/>
      <w:marBottom w:val="0"/>
      <w:divBdr>
        <w:top w:val="none" w:sz="0" w:space="0" w:color="auto"/>
        <w:left w:val="none" w:sz="0" w:space="0" w:color="auto"/>
        <w:bottom w:val="none" w:sz="0" w:space="0" w:color="auto"/>
        <w:right w:val="none" w:sz="0" w:space="0" w:color="auto"/>
      </w:divBdr>
    </w:div>
    <w:div w:id="1430079983">
      <w:bodyDiv w:val="1"/>
      <w:marLeft w:val="0"/>
      <w:marRight w:val="0"/>
      <w:marTop w:val="0"/>
      <w:marBottom w:val="0"/>
      <w:divBdr>
        <w:top w:val="none" w:sz="0" w:space="0" w:color="auto"/>
        <w:left w:val="none" w:sz="0" w:space="0" w:color="auto"/>
        <w:bottom w:val="none" w:sz="0" w:space="0" w:color="auto"/>
        <w:right w:val="none" w:sz="0" w:space="0" w:color="auto"/>
      </w:divBdr>
    </w:div>
    <w:div w:id="1463842931">
      <w:bodyDiv w:val="1"/>
      <w:marLeft w:val="0"/>
      <w:marRight w:val="0"/>
      <w:marTop w:val="0"/>
      <w:marBottom w:val="0"/>
      <w:divBdr>
        <w:top w:val="none" w:sz="0" w:space="0" w:color="auto"/>
        <w:left w:val="none" w:sz="0" w:space="0" w:color="auto"/>
        <w:bottom w:val="none" w:sz="0" w:space="0" w:color="auto"/>
        <w:right w:val="none" w:sz="0" w:space="0" w:color="auto"/>
      </w:divBdr>
    </w:div>
    <w:div w:id="1486510999">
      <w:bodyDiv w:val="1"/>
      <w:marLeft w:val="0"/>
      <w:marRight w:val="0"/>
      <w:marTop w:val="0"/>
      <w:marBottom w:val="0"/>
      <w:divBdr>
        <w:top w:val="none" w:sz="0" w:space="0" w:color="auto"/>
        <w:left w:val="none" w:sz="0" w:space="0" w:color="auto"/>
        <w:bottom w:val="none" w:sz="0" w:space="0" w:color="auto"/>
        <w:right w:val="none" w:sz="0" w:space="0" w:color="auto"/>
      </w:divBdr>
    </w:div>
    <w:div w:id="1492142552">
      <w:bodyDiv w:val="1"/>
      <w:marLeft w:val="0"/>
      <w:marRight w:val="0"/>
      <w:marTop w:val="0"/>
      <w:marBottom w:val="0"/>
      <w:divBdr>
        <w:top w:val="none" w:sz="0" w:space="0" w:color="auto"/>
        <w:left w:val="none" w:sz="0" w:space="0" w:color="auto"/>
        <w:bottom w:val="none" w:sz="0" w:space="0" w:color="auto"/>
        <w:right w:val="none" w:sz="0" w:space="0" w:color="auto"/>
      </w:divBdr>
    </w:div>
    <w:div w:id="1579708777">
      <w:bodyDiv w:val="1"/>
      <w:marLeft w:val="0"/>
      <w:marRight w:val="0"/>
      <w:marTop w:val="0"/>
      <w:marBottom w:val="0"/>
      <w:divBdr>
        <w:top w:val="none" w:sz="0" w:space="0" w:color="auto"/>
        <w:left w:val="none" w:sz="0" w:space="0" w:color="auto"/>
        <w:bottom w:val="none" w:sz="0" w:space="0" w:color="auto"/>
        <w:right w:val="none" w:sz="0" w:space="0" w:color="auto"/>
      </w:divBdr>
    </w:div>
    <w:div w:id="1631783956">
      <w:bodyDiv w:val="1"/>
      <w:marLeft w:val="0"/>
      <w:marRight w:val="0"/>
      <w:marTop w:val="0"/>
      <w:marBottom w:val="0"/>
      <w:divBdr>
        <w:top w:val="none" w:sz="0" w:space="0" w:color="auto"/>
        <w:left w:val="none" w:sz="0" w:space="0" w:color="auto"/>
        <w:bottom w:val="none" w:sz="0" w:space="0" w:color="auto"/>
        <w:right w:val="none" w:sz="0" w:space="0" w:color="auto"/>
      </w:divBdr>
    </w:div>
    <w:div w:id="1757549992">
      <w:bodyDiv w:val="1"/>
      <w:marLeft w:val="0"/>
      <w:marRight w:val="0"/>
      <w:marTop w:val="0"/>
      <w:marBottom w:val="0"/>
      <w:divBdr>
        <w:top w:val="none" w:sz="0" w:space="0" w:color="auto"/>
        <w:left w:val="none" w:sz="0" w:space="0" w:color="auto"/>
        <w:bottom w:val="none" w:sz="0" w:space="0" w:color="auto"/>
        <w:right w:val="none" w:sz="0" w:space="0" w:color="auto"/>
      </w:divBdr>
    </w:div>
    <w:div w:id="1801922353">
      <w:bodyDiv w:val="1"/>
      <w:marLeft w:val="0"/>
      <w:marRight w:val="0"/>
      <w:marTop w:val="0"/>
      <w:marBottom w:val="0"/>
      <w:divBdr>
        <w:top w:val="none" w:sz="0" w:space="0" w:color="auto"/>
        <w:left w:val="none" w:sz="0" w:space="0" w:color="auto"/>
        <w:bottom w:val="none" w:sz="0" w:space="0" w:color="auto"/>
        <w:right w:val="none" w:sz="0" w:space="0" w:color="auto"/>
      </w:divBdr>
    </w:div>
    <w:div w:id="1898123129">
      <w:bodyDiv w:val="1"/>
      <w:marLeft w:val="0"/>
      <w:marRight w:val="0"/>
      <w:marTop w:val="0"/>
      <w:marBottom w:val="0"/>
      <w:divBdr>
        <w:top w:val="none" w:sz="0" w:space="0" w:color="auto"/>
        <w:left w:val="none" w:sz="0" w:space="0" w:color="auto"/>
        <w:bottom w:val="none" w:sz="0" w:space="0" w:color="auto"/>
        <w:right w:val="none" w:sz="0" w:space="0" w:color="auto"/>
      </w:divBdr>
    </w:div>
    <w:div w:id="1918435603">
      <w:bodyDiv w:val="1"/>
      <w:marLeft w:val="0"/>
      <w:marRight w:val="0"/>
      <w:marTop w:val="0"/>
      <w:marBottom w:val="0"/>
      <w:divBdr>
        <w:top w:val="none" w:sz="0" w:space="0" w:color="auto"/>
        <w:left w:val="none" w:sz="0" w:space="0" w:color="auto"/>
        <w:bottom w:val="none" w:sz="0" w:space="0" w:color="auto"/>
        <w:right w:val="none" w:sz="0" w:space="0" w:color="auto"/>
      </w:divBdr>
    </w:div>
    <w:div w:id="1948658403">
      <w:bodyDiv w:val="1"/>
      <w:marLeft w:val="0"/>
      <w:marRight w:val="0"/>
      <w:marTop w:val="0"/>
      <w:marBottom w:val="0"/>
      <w:divBdr>
        <w:top w:val="none" w:sz="0" w:space="0" w:color="auto"/>
        <w:left w:val="none" w:sz="0" w:space="0" w:color="auto"/>
        <w:bottom w:val="none" w:sz="0" w:space="0" w:color="auto"/>
        <w:right w:val="none" w:sz="0" w:space="0" w:color="auto"/>
      </w:divBdr>
    </w:div>
    <w:div w:id="1990403881">
      <w:bodyDiv w:val="1"/>
      <w:marLeft w:val="0"/>
      <w:marRight w:val="0"/>
      <w:marTop w:val="0"/>
      <w:marBottom w:val="0"/>
      <w:divBdr>
        <w:top w:val="none" w:sz="0" w:space="0" w:color="auto"/>
        <w:left w:val="none" w:sz="0" w:space="0" w:color="auto"/>
        <w:bottom w:val="none" w:sz="0" w:space="0" w:color="auto"/>
        <w:right w:val="none" w:sz="0" w:space="0" w:color="auto"/>
      </w:divBdr>
    </w:div>
    <w:div w:id="2016885129">
      <w:bodyDiv w:val="1"/>
      <w:marLeft w:val="0"/>
      <w:marRight w:val="0"/>
      <w:marTop w:val="0"/>
      <w:marBottom w:val="0"/>
      <w:divBdr>
        <w:top w:val="none" w:sz="0" w:space="0" w:color="auto"/>
        <w:left w:val="none" w:sz="0" w:space="0" w:color="auto"/>
        <w:bottom w:val="none" w:sz="0" w:space="0" w:color="auto"/>
        <w:right w:val="none" w:sz="0" w:space="0" w:color="auto"/>
      </w:divBdr>
    </w:div>
    <w:div w:id="2027710640">
      <w:bodyDiv w:val="1"/>
      <w:marLeft w:val="0"/>
      <w:marRight w:val="0"/>
      <w:marTop w:val="0"/>
      <w:marBottom w:val="0"/>
      <w:divBdr>
        <w:top w:val="none" w:sz="0" w:space="0" w:color="auto"/>
        <w:left w:val="none" w:sz="0" w:space="0" w:color="auto"/>
        <w:bottom w:val="none" w:sz="0" w:space="0" w:color="auto"/>
        <w:right w:val="none" w:sz="0" w:space="0" w:color="auto"/>
      </w:divBdr>
    </w:div>
    <w:div w:id="2077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comments" Target="comments.xml"/><Relationship Id="rId50" Type="http://schemas.openxmlformats.org/officeDocument/2006/relationships/image" Target="media/image33.emf"/><Relationship Id="rId55" Type="http://schemas.openxmlformats.org/officeDocument/2006/relationships/image" Target="media/image38.emf"/><Relationship Id="rId63" Type="http://schemas.openxmlformats.org/officeDocument/2006/relationships/image" Target="media/image46.wmf"/><Relationship Id="rId68" Type="http://schemas.microsoft.com/office/2007/relationships/diagramDrawing" Target="diagrams/drawing1.xml"/><Relationship Id="rId7" Type="http://schemas.openxmlformats.org/officeDocument/2006/relationships/settings" Target="settings.xml"/><Relationship Id="rId71" Type="http://schemas.openxmlformats.org/officeDocument/2006/relationships/hyperlink" Target="https://srb.europa.eu/en/content/liability-data-report"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4.emf"/><Relationship Id="rId11" Type="http://schemas.openxmlformats.org/officeDocument/2006/relationships/image" Target="media/image1.png"/><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6.emf"/><Relationship Id="rId58" Type="http://schemas.openxmlformats.org/officeDocument/2006/relationships/image" Target="media/image41.emf"/><Relationship Id="rId66" Type="http://schemas.openxmlformats.org/officeDocument/2006/relationships/diagramQuickStyle" Target="diagrams/quickStyle1.xml"/><Relationship Id="rId7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2.emf"/><Relationship Id="rId57" Type="http://schemas.openxmlformats.org/officeDocument/2006/relationships/image" Target="media/image40.emf"/><Relationship Id="rId61" Type="http://schemas.openxmlformats.org/officeDocument/2006/relationships/image" Target="media/image44.emf"/><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5.emf"/><Relationship Id="rId60" Type="http://schemas.openxmlformats.org/officeDocument/2006/relationships/image" Target="media/image43.emf"/><Relationship Id="rId65" Type="http://schemas.openxmlformats.org/officeDocument/2006/relationships/diagramLayout" Target="diagrams/layout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microsoft.com/office/2011/relationships/commentsExtended" Target="commentsExtended.xml"/><Relationship Id="rId56" Type="http://schemas.openxmlformats.org/officeDocument/2006/relationships/image" Target="media/image39.emf"/><Relationship Id="rId64" Type="http://schemas.openxmlformats.org/officeDocument/2006/relationships/diagramData" Target="diagrams/data1.xml"/><Relationship Id="rId69" Type="http://schemas.openxmlformats.org/officeDocument/2006/relationships/image" Target="media/image47.png"/><Relationship Id="rId8" Type="http://schemas.openxmlformats.org/officeDocument/2006/relationships/webSettings" Target="webSettings.xml"/><Relationship Id="rId51" Type="http://schemas.openxmlformats.org/officeDocument/2006/relationships/image" Target="media/image34.emf"/><Relationship Id="rId72" Type="http://schemas.openxmlformats.org/officeDocument/2006/relationships/hyperlink" Target="https://srb.europa.eu/en/content/liability-data-repor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image" Target="media/image42.emf"/><Relationship Id="rId67" Type="http://schemas.openxmlformats.org/officeDocument/2006/relationships/diagramColors" Target="diagrams/colors1.xml"/><Relationship Id="rId20" Type="http://schemas.openxmlformats.org/officeDocument/2006/relationships/image" Target="media/image5.emf"/><Relationship Id="rId41" Type="http://schemas.openxmlformats.org/officeDocument/2006/relationships/image" Target="media/image26.emf"/><Relationship Id="rId54" Type="http://schemas.openxmlformats.org/officeDocument/2006/relationships/image" Target="media/image37.wmf"/><Relationship Id="rId62" Type="http://schemas.openxmlformats.org/officeDocument/2006/relationships/image" Target="media/image45.emf"/><Relationship Id="rId70" Type="http://schemas.openxmlformats.org/officeDocument/2006/relationships/hyperlink" Target="https://srb.europa.eu/en/content/liability-data-repor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sda.org/protocol/isda-2015-universal-resolution-stay-protocol/adhering-par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37943B-1ECD-4750-AA7D-39AD69836DE5}"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fr-BE"/>
        </a:p>
      </dgm:t>
    </dgm:pt>
    <dgm:pt modelId="{A3B50205-004E-40C7-B67C-E06F4FABF2B9}">
      <dgm:prSet phldrT="[Text]" custT="1"/>
      <dgm:spPr/>
      <dgm:t>
        <a:bodyPr/>
        <a:lstStyle/>
        <a:p>
          <a:pPr algn="ctr"/>
          <a:r>
            <a:rPr lang="fr-BE" sz="1000">
              <a:latin typeface="Verdana" panose="020B0604030504040204" pitchFamily="34" charset="0"/>
              <a:ea typeface="Verdana" panose="020B0604030504040204" pitchFamily="34" charset="0"/>
              <a:cs typeface="Verdana" panose="020B0604030504040204" pitchFamily="34" charset="0"/>
            </a:rPr>
            <a:t>Ultimate Parent Entity A</a:t>
          </a:r>
        </a:p>
      </dgm:t>
    </dgm:pt>
    <dgm:pt modelId="{F6788E5E-A2E0-4A3B-91D0-3A0257BB8C55}" type="parTrans" cxnId="{95A08DC1-22E0-44F5-905E-B771249C5676}">
      <dgm:prSet/>
      <dgm:spPr/>
      <dgm:t>
        <a:bodyPr/>
        <a:lstStyle/>
        <a:p>
          <a:pPr algn="ctr"/>
          <a:endParaRPr lang="fr-BE"/>
        </a:p>
      </dgm:t>
    </dgm:pt>
    <dgm:pt modelId="{A3811797-5351-4CC0-98D7-66F5F09E52F0}" type="sibTrans" cxnId="{95A08DC1-22E0-44F5-905E-B771249C5676}">
      <dgm:prSet custT="1"/>
      <dgm:spPr/>
      <dgm:t>
        <a:bodyPr/>
        <a:lstStyle/>
        <a:p>
          <a:pPr algn="ctr"/>
          <a:r>
            <a:rPr lang="fr-BE" sz="800">
              <a:latin typeface="Verdana" panose="020B0604030504040204" pitchFamily="34" charset="0"/>
              <a:ea typeface="Verdana" panose="020B0604030504040204" pitchFamily="34" charset="0"/>
              <a:cs typeface="Verdana" panose="020B0604030504040204" pitchFamily="34" charset="0"/>
            </a:rPr>
            <a:t>PRS = MPE (POE)</a:t>
          </a:r>
        </a:p>
      </dgm:t>
    </dgm:pt>
    <dgm:pt modelId="{31E640D2-3C03-4C1B-9D81-9EA4F5BA2830}">
      <dgm:prSet phldrT="[Text]" custT="1"/>
      <dgm:spPr/>
      <dgm:t>
        <a:bodyPr/>
        <a:lstStyle/>
        <a:p>
          <a:pPr algn="ctr"/>
          <a:r>
            <a:rPr lang="fr-BE" sz="1000">
              <a:latin typeface="Verdana" panose="020B0604030504040204" pitchFamily="34" charset="0"/>
              <a:ea typeface="Verdana" panose="020B0604030504040204" pitchFamily="34" charset="0"/>
              <a:cs typeface="Verdana" panose="020B0604030504040204" pitchFamily="34" charset="0"/>
            </a:rPr>
            <a:t>Parent Entity B</a:t>
          </a:r>
        </a:p>
      </dgm:t>
    </dgm:pt>
    <dgm:pt modelId="{9C1FF7F3-9D6E-4251-B131-BC27E1469471}" type="parTrans" cxnId="{749BF0FE-9136-4AE3-9438-6FDC6877B5A7}">
      <dgm:prSet/>
      <dgm:spPr/>
      <dgm:t>
        <a:bodyPr/>
        <a:lstStyle/>
        <a:p>
          <a:pPr algn="ctr"/>
          <a:endParaRPr lang="fr-BE"/>
        </a:p>
      </dgm:t>
    </dgm:pt>
    <dgm:pt modelId="{A9B4367A-C920-4CC3-8E81-D25AAEFB78FD}" type="sibTrans" cxnId="{749BF0FE-9136-4AE3-9438-6FDC6877B5A7}">
      <dgm:prSet custT="1"/>
      <dgm:spPr/>
      <dgm:t>
        <a:bodyPr/>
        <a:lstStyle/>
        <a:p>
          <a:pPr algn="ctr"/>
          <a:r>
            <a:rPr lang="fr-BE" sz="800">
              <a:latin typeface="Verdana" panose="020B0604030504040204" pitchFamily="34" charset="0"/>
              <a:ea typeface="Verdana" panose="020B0604030504040204" pitchFamily="34" charset="0"/>
              <a:cs typeface="Verdana" panose="020B0604030504040204" pitchFamily="34" charset="0"/>
            </a:rPr>
            <a:t>PRS = MPE (POE)</a:t>
          </a:r>
        </a:p>
      </dgm:t>
    </dgm:pt>
    <dgm:pt modelId="{224CDCF8-2BA3-4D67-96BD-8366D812EBE1}">
      <dgm:prSet phldrT="[Text]" custT="1"/>
      <dgm:spPr/>
      <dgm:t>
        <a:bodyPr/>
        <a:lstStyle/>
        <a:p>
          <a:pPr algn="ctr"/>
          <a:r>
            <a:rPr lang="fr-BE" sz="1000">
              <a:latin typeface="Verdana" panose="020B0604030504040204" pitchFamily="34" charset="0"/>
              <a:ea typeface="Verdana" panose="020B0604030504040204" pitchFamily="34" charset="0"/>
              <a:cs typeface="Verdana" panose="020B0604030504040204" pitchFamily="34" charset="0"/>
            </a:rPr>
            <a:t>Subsidiary C</a:t>
          </a:r>
        </a:p>
      </dgm:t>
    </dgm:pt>
    <dgm:pt modelId="{17FAC1FA-24C3-4A95-9C4F-86FE3C0FBE42}" type="parTrans" cxnId="{A53D8568-1B89-4D05-8D98-2EE44E324FF0}">
      <dgm:prSet/>
      <dgm:spPr/>
      <dgm:t>
        <a:bodyPr/>
        <a:lstStyle/>
        <a:p>
          <a:pPr algn="ctr"/>
          <a:endParaRPr lang="fr-BE"/>
        </a:p>
      </dgm:t>
    </dgm:pt>
    <dgm:pt modelId="{38B1EB43-40E8-4740-B401-B24EA5C38DBF}" type="sibTrans" cxnId="{A53D8568-1B89-4D05-8D98-2EE44E324FF0}">
      <dgm:prSet custT="1"/>
      <dgm:spPr/>
      <dgm:t>
        <a:bodyPr/>
        <a:lstStyle/>
        <a:p>
          <a:pPr algn="ctr"/>
          <a:r>
            <a:rPr lang="fr-BE" sz="800">
              <a:latin typeface="Verdana" panose="020B0604030504040204" pitchFamily="34" charset="0"/>
              <a:ea typeface="Verdana" panose="020B0604030504040204" pitchFamily="34" charset="0"/>
              <a:cs typeface="Verdana" panose="020B0604030504040204" pitchFamily="34" charset="0"/>
            </a:rPr>
            <a:t>No RLE</a:t>
          </a:r>
        </a:p>
      </dgm:t>
    </dgm:pt>
    <dgm:pt modelId="{C1F180AD-50EB-4C93-AF2A-FFFA9036AD6F}">
      <dgm:prSet phldrT="[Text]" custT="1"/>
      <dgm:spPr/>
      <dgm:t>
        <a:bodyPr/>
        <a:lstStyle/>
        <a:p>
          <a:pPr algn="ctr"/>
          <a:r>
            <a:rPr lang="fr-BE" sz="1000">
              <a:latin typeface="Verdana" panose="020B0604030504040204" pitchFamily="34" charset="0"/>
              <a:ea typeface="Verdana" panose="020B0604030504040204" pitchFamily="34" charset="0"/>
              <a:cs typeface="Verdana" panose="020B0604030504040204" pitchFamily="34" charset="0"/>
            </a:rPr>
            <a:t>Subsidiary D</a:t>
          </a:r>
        </a:p>
      </dgm:t>
    </dgm:pt>
    <dgm:pt modelId="{5406D85F-EAFA-46BF-A0BC-A564C75E9A1C}" type="parTrans" cxnId="{3896AB47-A9FF-479E-B948-BA5BFDF12046}">
      <dgm:prSet/>
      <dgm:spPr/>
      <dgm:t>
        <a:bodyPr/>
        <a:lstStyle/>
        <a:p>
          <a:pPr algn="ctr"/>
          <a:endParaRPr lang="fr-BE"/>
        </a:p>
      </dgm:t>
    </dgm:pt>
    <dgm:pt modelId="{926FB1E5-D1FE-4EFC-8340-D124A80A1286}" type="sibTrans" cxnId="{3896AB47-A9FF-479E-B948-BA5BFDF12046}">
      <dgm:prSet custT="1"/>
      <dgm:spPr/>
      <dgm:t>
        <a:bodyPr/>
        <a:lstStyle/>
        <a:p>
          <a:pPr algn="ctr"/>
          <a:r>
            <a:rPr lang="fr-BE" sz="800">
              <a:latin typeface="Verdana" panose="020B0604030504040204" pitchFamily="34" charset="0"/>
              <a:ea typeface="Verdana" panose="020B0604030504040204" pitchFamily="34" charset="0"/>
              <a:cs typeface="Verdana" panose="020B0604030504040204" pitchFamily="34" charset="0"/>
            </a:rPr>
            <a:t>PRS = Insolvency</a:t>
          </a:r>
        </a:p>
      </dgm:t>
    </dgm:pt>
    <dgm:pt modelId="{01B2514F-BA8D-478C-8CA1-E6204CD05DC2}">
      <dgm:prSet phldrT="[Text]" custT="1"/>
      <dgm:spPr/>
      <dgm:t>
        <a:bodyPr/>
        <a:lstStyle/>
        <a:p>
          <a:pPr algn="ctr"/>
          <a:r>
            <a:rPr lang="fr-BE" sz="1000">
              <a:latin typeface="Verdana" panose="020B0604030504040204" pitchFamily="34" charset="0"/>
              <a:ea typeface="Verdana" panose="020B0604030504040204" pitchFamily="34" charset="0"/>
              <a:cs typeface="Verdana" panose="020B0604030504040204" pitchFamily="34" charset="0"/>
            </a:rPr>
            <a:t>Subsidiary E</a:t>
          </a:r>
        </a:p>
      </dgm:t>
    </dgm:pt>
    <dgm:pt modelId="{94090C04-9E93-46ED-830B-654B96E71497}" type="parTrans" cxnId="{8209ED03-6C66-4CBD-93BD-4F32CD76F418}">
      <dgm:prSet/>
      <dgm:spPr/>
      <dgm:t>
        <a:bodyPr/>
        <a:lstStyle/>
        <a:p>
          <a:pPr algn="ctr"/>
          <a:endParaRPr lang="fr-BE"/>
        </a:p>
      </dgm:t>
    </dgm:pt>
    <dgm:pt modelId="{BEA8B9B2-7C6D-47BF-B39D-569A53407EB2}" type="sibTrans" cxnId="{8209ED03-6C66-4CBD-93BD-4F32CD76F418}">
      <dgm:prSet custT="1"/>
      <dgm:spPr/>
      <dgm:t>
        <a:bodyPr/>
        <a:lstStyle/>
        <a:p>
          <a:pPr algn="ctr"/>
          <a:r>
            <a:rPr lang="fr-BE" sz="800">
              <a:latin typeface="Verdana" panose="020B0604030504040204" pitchFamily="34" charset="0"/>
              <a:ea typeface="Verdana" panose="020B0604030504040204" pitchFamily="34" charset="0"/>
              <a:cs typeface="Verdana" panose="020B0604030504040204" pitchFamily="34" charset="0"/>
            </a:rPr>
            <a:t>PRS = MPE (POE)</a:t>
          </a:r>
        </a:p>
      </dgm:t>
    </dgm:pt>
    <dgm:pt modelId="{8796B7A1-77D9-4F2C-8AB5-BAC31455D49C}">
      <dgm:prSet phldrT="[Text]" custT="1"/>
      <dgm:spPr/>
      <dgm:t>
        <a:bodyPr/>
        <a:lstStyle/>
        <a:p>
          <a:pPr algn="ctr"/>
          <a:r>
            <a:rPr lang="fr-BE" sz="1000">
              <a:latin typeface="Verdana" panose="020B0604030504040204" pitchFamily="34" charset="0"/>
              <a:ea typeface="Verdana" panose="020B0604030504040204" pitchFamily="34" charset="0"/>
              <a:cs typeface="Verdana" panose="020B0604030504040204" pitchFamily="34" charset="0"/>
            </a:rPr>
            <a:t>Parent Entity F</a:t>
          </a:r>
        </a:p>
      </dgm:t>
    </dgm:pt>
    <dgm:pt modelId="{C5EA6D79-9DB1-4DCE-87B7-03BC5A428D04}" type="parTrans" cxnId="{BE44B686-AF0C-44C7-83BB-BA9C0BCF6472}">
      <dgm:prSet/>
      <dgm:spPr/>
      <dgm:t>
        <a:bodyPr/>
        <a:lstStyle/>
        <a:p>
          <a:endParaRPr lang="fr-BE"/>
        </a:p>
      </dgm:t>
    </dgm:pt>
    <dgm:pt modelId="{D55178BA-BBEB-4B5C-BE1A-97538DAEAB61}" type="sibTrans" cxnId="{BE44B686-AF0C-44C7-83BB-BA9C0BCF6472}">
      <dgm:prSet custT="1"/>
      <dgm:spPr/>
      <dgm:t>
        <a:bodyPr/>
        <a:lstStyle/>
        <a:p>
          <a:r>
            <a:rPr lang="fr-BE" sz="800">
              <a:latin typeface="Verdana" panose="020B0604030504040204" pitchFamily="34" charset="0"/>
              <a:ea typeface="Verdana" panose="020B0604030504040204" pitchFamily="34" charset="0"/>
              <a:cs typeface="Verdana" panose="020B0604030504040204" pitchFamily="34" charset="0"/>
            </a:rPr>
            <a:t>PRS = MPE (POE)</a:t>
          </a:r>
        </a:p>
      </dgm:t>
    </dgm:pt>
    <dgm:pt modelId="{8F19DFB8-4CAB-44F4-A408-A1FEB6C5DCC9}">
      <dgm:prSet phldrT="[Text]" custT="1"/>
      <dgm:spPr/>
      <dgm:t>
        <a:bodyPr/>
        <a:lstStyle/>
        <a:p>
          <a:pPr algn="ctr"/>
          <a:r>
            <a:rPr lang="fr-BE" sz="1000">
              <a:latin typeface="Verdana" panose="020B0604030504040204" pitchFamily="34" charset="0"/>
              <a:ea typeface="Verdana" panose="020B0604030504040204" pitchFamily="34" charset="0"/>
              <a:cs typeface="Verdana" panose="020B0604030504040204" pitchFamily="34" charset="0"/>
            </a:rPr>
            <a:t>Subsidiary G</a:t>
          </a:r>
        </a:p>
      </dgm:t>
    </dgm:pt>
    <dgm:pt modelId="{F5A49444-01F3-42BF-94DF-CEB6DE3B2B27}" type="parTrans" cxnId="{08CB71DF-1547-4165-8254-CED2F3318110}">
      <dgm:prSet/>
      <dgm:spPr/>
      <dgm:t>
        <a:bodyPr/>
        <a:lstStyle/>
        <a:p>
          <a:endParaRPr lang="fr-BE"/>
        </a:p>
      </dgm:t>
    </dgm:pt>
    <dgm:pt modelId="{CA77CAB6-ECF7-4824-AADB-8F5340C92E47}" type="sibTrans" cxnId="{08CB71DF-1547-4165-8254-CED2F3318110}">
      <dgm:prSet custT="1"/>
      <dgm:spPr/>
      <dgm:t>
        <a:bodyPr/>
        <a:lstStyle/>
        <a:p>
          <a:pPr algn="ctr"/>
          <a:r>
            <a:rPr lang="fr-BE" sz="800">
              <a:latin typeface="Verdana" panose="020B0604030504040204" pitchFamily="34" charset="0"/>
              <a:ea typeface="Verdana" panose="020B0604030504040204" pitchFamily="34" charset="0"/>
              <a:cs typeface="Verdana" panose="020B0604030504040204" pitchFamily="34" charset="0"/>
            </a:rPr>
            <a:t>PRS = incl. with parent entity</a:t>
          </a:r>
        </a:p>
      </dgm:t>
    </dgm:pt>
    <dgm:pt modelId="{7A15BCA1-F248-4719-8F38-EB66B9EFD59B}" type="pres">
      <dgm:prSet presAssocID="{5B37943B-1ECD-4750-AA7D-39AD69836DE5}" presName="hierChild1" presStyleCnt="0">
        <dgm:presLayoutVars>
          <dgm:orgChart val="1"/>
          <dgm:chPref val="1"/>
          <dgm:dir/>
          <dgm:animOne val="branch"/>
          <dgm:animLvl val="lvl"/>
          <dgm:resizeHandles/>
        </dgm:presLayoutVars>
      </dgm:prSet>
      <dgm:spPr/>
      <dgm:t>
        <a:bodyPr/>
        <a:lstStyle/>
        <a:p>
          <a:endParaRPr lang="fr-BE"/>
        </a:p>
      </dgm:t>
    </dgm:pt>
    <dgm:pt modelId="{099C9BA8-8086-4A74-9D95-CF7034D1B262}" type="pres">
      <dgm:prSet presAssocID="{A3B50205-004E-40C7-B67C-E06F4FABF2B9}" presName="hierRoot1" presStyleCnt="0">
        <dgm:presLayoutVars>
          <dgm:hierBranch val="init"/>
        </dgm:presLayoutVars>
      </dgm:prSet>
      <dgm:spPr/>
    </dgm:pt>
    <dgm:pt modelId="{6061A0A0-998B-4764-83D5-5B2E862FC255}" type="pres">
      <dgm:prSet presAssocID="{A3B50205-004E-40C7-B67C-E06F4FABF2B9}" presName="rootComposite1" presStyleCnt="0"/>
      <dgm:spPr/>
    </dgm:pt>
    <dgm:pt modelId="{A8EF03D9-44BD-4674-8C6E-050F004DEB9D}" type="pres">
      <dgm:prSet presAssocID="{A3B50205-004E-40C7-B67C-E06F4FABF2B9}" presName="rootText1" presStyleLbl="node0" presStyleIdx="0" presStyleCnt="1">
        <dgm:presLayoutVars>
          <dgm:chMax/>
          <dgm:chPref val="3"/>
        </dgm:presLayoutVars>
      </dgm:prSet>
      <dgm:spPr/>
      <dgm:t>
        <a:bodyPr/>
        <a:lstStyle/>
        <a:p>
          <a:endParaRPr lang="fr-BE"/>
        </a:p>
      </dgm:t>
    </dgm:pt>
    <dgm:pt modelId="{5942E4DA-723B-4A84-9201-633F1091A806}" type="pres">
      <dgm:prSet presAssocID="{A3B50205-004E-40C7-B67C-E06F4FABF2B9}" presName="titleText1" presStyleLbl="fgAcc0" presStyleIdx="0" presStyleCnt="1">
        <dgm:presLayoutVars>
          <dgm:chMax val="0"/>
          <dgm:chPref val="0"/>
        </dgm:presLayoutVars>
      </dgm:prSet>
      <dgm:spPr/>
      <dgm:t>
        <a:bodyPr/>
        <a:lstStyle/>
        <a:p>
          <a:endParaRPr lang="fr-BE"/>
        </a:p>
      </dgm:t>
    </dgm:pt>
    <dgm:pt modelId="{6EB7229E-F8D8-4A44-8948-31A2858FED31}" type="pres">
      <dgm:prSet presAssocID="{A3B50205-004E-40C7-B67C-E06F4FABF2B9}" presName="rootConnector1" presStyleLbl="node1" presStyleIdx="0" presStyleCnt="6"/>
      <dgm:spPr/>
      <dgm:t>
        <a:bodyPr/>
        <a:lstStyle/>
        <a:p>
          <a:endParaRPr lang="fr-BE"/>
        </a:p>
      </dgm:t>
    </dgm:pt>
    <dgm:pt modelId="{2182A716-6F32-449F-9131-0B18717F9560}" type="pres">
      <dgm:prSet presAssocID="{A3B50205-004E-40C7-B67C-E06F4FABF2B9}" presName="hierChild2" presStyleCnt="0"/>
      <dgm:spPr/>
    </dgm:pt>
    <dgm:pt modelId="{E501DE83-4944-4D33-A70B-82F6829E6EB7}" type="pres">
      <dgm:prSet presAssocID="{9C1FF7F3-9D6E-4251-B131-BC27E1469471}" presName="Name37" presStyleLbl="parChTrans1D2" presStyleIdx="0" presStyleCnt="3"/>
      <dgm:spPr/>
      <dgm:t>
        <a:bodyPr/>
        <a:lstStyle/>
        <a:p>
          <a:endParaRPr lang="fr-BE"/>
        </a:p>
      </dgm:t>
    </dgm:pt>
    <dgm:pt modelId="{C44017A9-9391-4A8D-9C18-0A144DAF78D4}" type="pres">
      <dgm:prSet presAssocID="{31E640D2-3C03-4C1B-9D81-9EA4F5BA2830}" presName="hierRoot2" presStyleCnt="0">
        <dgm:presLayoutVars>
          <dgm:hierBranch val="init"/>
        </dgm:presLayoutVars>
      </dgm:prSet>
      <dgm:spPr/>
    </dgm:pt>
    <dgm:pt modelId="{831862EB-A120-457B-A3E1-6E00420617FD}" type="pres">
      <dgm:prSet presAssocID="{31E640D2-3C03-4C1B-9D81-9EA4F5BA2830}" presName="rootComposite" presStyleCnt="0"/>
      <dgm:spPr/>
    </dgm:pt>
    <dgm:pt modelId="{0BAA82CA-C5D3-4C7E-ACA4-48944FD332CE}" type="pres">
      <dgm:prSet presAssocID="{31E640D2-3C03-4C1B-9D81-9EA4F5BA2830}" presName="rootText" presStyleLbl="node1" presStyleIdx="0" presStyleCnt="6">
        <dgm:presLayoutVars>
          <dgm:chMax/>
          <dgm:chPref val="3"/>
        </dgm:presLayoutVars>
      </dgm:prSet>
      <dgm:spPr/>
      <dgm:t>
        <a:bodyPr/>
        <a:lstStyle/>
        <a:p>
          <a:endParaRPr lang="fr-BE"/>
        </a:p>
      </dgm:t>
    </dgm:pt>
    <dgm:pt modelId="{E4D7EE75-6680-4AE2-967D-B4738685303F}" type="pres">
      <dgm:prSet presAssocID="{31E640D2-3C03-4C1B-9D81-9EA4F5BA2830}" presName="titleText2" presStyleLbl="fgAcc1" presStyleIdx="0" presStyleCnt="6">
        <dgm:presLayoutVars>
          <dgm:chMax val="0"/>
          <dgm:chPref val="0"/>
        </dgm:presLayoutVars>
      </dgm:prSet>
      <dgm:spPr/>
      <dgm:t>
        <a:bodyPr/>
        <a:lstStyle/>
        <a:p>
          <a:endParaRPr lang="fr-BE"/>
        </a:p>
      </dgm:t>
    </dgm:pt>
    <dgm:pt modelId="{61678485-FAC3-4AE7-96A4-C81A5E7E33DF}" type="pres">
      <dgm:prSet presAssocID="{31E640D2-3C03-4C1B-9D81-9EA4F5BA2830}" presName="rootConnector" presStyleLbl="node2" presStyleIdx="0" presStyleCnt="0"/>
      <dgm:spPr/>
      <dgm:t>
        <a:bodyPr/>
        <a:lstStyle/>
        <a:p>
          <a:endParaRPr lang="fr-BE"/>
        </a:p>
      </dgm:t>
    </dgm:pt>
    <dgm:pt modelId="{ADABCD6B-ADF6-4EF3-9170-EF62559642D9}" type="pres">
      <dgm:prSet presAssocID="{31E640D2-3C03-4C1B-9D81-9EA4F5BA2830}" presName="hierChild4" presStyleCnt="0"/>
      <dgm:spPr/>
    </dgm:pt>
    <dgm:pt modelId="{C7E4FD8C-D074-4550-9C4D-E2608861545C}" type="pres">
      <dgm:prSet presAssocID="{17FAC1FA-24C3-4A95-9C4F-86FE3C0FBE42}" presName="Name37" presStyleLbl="parChTrans1D3" presStyleIdx="0" presStyleCnt="3"/>
      <dgm:spPr/>
      <dgm:t>
        <a:bodyPr/>
        <a:lstStyle/>
        <a:p>
          <a:endParaRPr lang="fr-BE"/>
        </a:p>
      </dgm:t>
    </dgm:pt>
    <dgm:pt modelId="{AFC6A18E-2714-419E-8474-57CEA97EC71A}" type="pres">
      <dgm:prSet presAssocID="{224CDCF8-2BA3-4D67-96BD-8366D812EBE1}" presName="hierRoot2" presStyleCnt="0">
        <dgm:presLayoutVars>
          <dgm:hierBranch val="init"/>
        </dgm:presLayoutVars>
      </dgm:prSet>
      <dgm:spPr/>
    </dgm:pt>
    <dgm:pt modelId="{C89AE9D6-C9B1-4AA8-A0BA-E66509DBDE20}" type="pres">
      <dgm:prSet presAssocID="{224CDCF8-2BA3-4D67-96BD-8366D812EBE1}" presName="rootComposite" presStyleCnt="0"/>
      <dgm:spPr/>
    </dgm:pt>
    <dgm:pt modelId="{C6ED0038-B25A-4EA8-B05C-3B5930C06B29}" type="pres">
      <dgm:prSet presAssocID="{224CDCF8-2BA3-4D67-96BD-8366D812EBE1}" presName="rootText" presStyleLbl="node1" presStyleIdx="1" presStyleCnt="6">
        <dgm:presLayoutVars>
          <dgm:chMax/>
          <dgm:chPref val="3"/>
        </dgm:presLayoutVars>
      </dgm:prSet>
      <dgm:spPr/>
      <dgm:t>
        <a:bodyPr/>
        <a:lstStyle/>
        <a:p>
          <a:endParaRPr lang="fr-BE"/>
        </a:p>
      </dgm:t>
    </dgm:pt>
    <dgm:pt modelId="{288B5B59-3459-4EF8-9703-73B03FFFDAF8}" type="pres">
      <dgm:prSet presAssocID="{224CDCF8-2BA3-4D67-96BD-8366D812EBE1}" presName="titleText2" presStyleLbl="fgAcc1" presStyleIdx="1" presStyleCnt="6">
        <dgm:presLayoutVars>
          <dgm:chMax val="0"/>
          <dgm:chPref val="0"/>
        </dgm:presLayoutVars>
      </dgm:prSet>
      <dgm:spPr/>
      <dgm:t>
        <a:bodyPr/>
        <a:lstStyle/>
        <a:p>
          <a:endParaRPr lang="fr-BE"/>
        </a:p>
      </dgm:t>
    </dgm:pt>
    <dgm:pt modelId="{524FA893-3000-44C0-A528-E443342948E4}" type="pres">
      <dgm:prSet presAssocID="{224CDCF8-2BA3-4D67-96BD-8366D812EBE1}" presName="rootConnector" presStyleLbl="node3" presStyleIdx="0" presStyleCnt="0"/>
      <dgm:spPr/>
      <dgm:t>
        <a:bodyPr/>
        <a:lstStyle/>
        <a:p>
          <a:endParaRPr lang="fr-BE"/>
        </a:p>
      </dgm:t>
    </dgm:pt>
    <dgm:pt modelId="{A5C8B88A-9131-4647-BD5B-CD93BE29C1C3}" type="pres">
      <dgm:prSet presAssocID="{224CDCF8-2BA3-4D67-96BD-8366D812EBE1}" presName="hierChild4" presStyleCnt="0"/>
      <dgm:spPr/>
    </dgm:pt>
    <dgm:pt modelId="{66390163-9C8C-42E5-AC87-BACBEC11A5C8}" type="pres">
      <dgm:prSet presAssocID="{224CDCF8-2BA3-4D67-96BD-8366D812EBE1}" presName="hierChild5" presStyleCnt="0"/>
      <dgm:spPr/>
    </dgm:pt>
    <dgm:pt modelId="{C162B988-C184-46D9-B1A4-120E297C2F65}" type="pres">
      <dgm:prSet presAssocID="{5406D85F-EAFA-46BF-A0BC-A564C75E9A1C}" presName="Name37" presStyleLbl="parChTrans1D3" presStyleIdx="1" presStyleCnt="3"/>
      <dgm:spPr/>
      <dgm:t>
        <a:bodyPr/>
        <a:lstStyle/>
        <a:p>
          <a:endParaRPr lang="fr-BE"/>
        </a:p>
      </dgm:t>
    </dgm:pt>
    <dgm:pt modelId="{1B171EB9-4EDB-4EA0-950E-99B83E2AF79A}" type="pres">
      <dgm:prSet presAssocID="{C1F180AD-50EB-4C93-AF2A-FFFA9036AD6F}" presName="hierRoot2" presStyleCnt="0">
        <dgm:presLayoutVars>
          <dgm:hierBranch val="init"/>
        </dgm:presLayoutVars>
      </dgm:prSet>
      <dgm:spPr/>
    </dgm:pt>
    <dgm:pt modelId="{D33826BE-DDA7-4BE6-9457-3D355A6E7655}" type="pres">
      <dgm:prSet presAssocID="{C1F180AD-50EB-4C93-AF2A-FFFA9036AD6F}" presName="rootComposite" presStyleCnt="0"/>
      <dgm:spPr/>
    </dgm:pt>
    <dgm:pt modelId="{283425AE-5633-435B-88C3-673DC2FDD41C}" type="pres">
      <dgm:prSet presAssocID="{C1F180AD-50EB-4C93-AF2A-FFFA9036AD6F}" presName="rootText" presStyleLbl="node1" presStyleIdx="2" presStyleCnt="6">
        <dgm:presLayoutVars>
          <dgm:chMax/>
          <dgm:chPref val="3"/>
        </dgm:presLayoutVars>
      </dgm:prSet>
      <dgm:spPr/>
      <dgm:t>
        <a:bodyPr/>
        <a:lstStyle/>
        <a:p>
          <a:endParaRPr lang="fr-BE"/>
        </a:p>
      </dgm:t>
    </dgm:pt>
    <dgm:pt modelId="{6AC489C8-84C1-463E-9AAE-10DFB6CE1D3B}" type="pres">
      <dgm:prSet presAssocID="{C1F180AD-50EB-4C93-AF2A-FFFA9036AD6F}" presName="titleText2" presStyleLbl="fgAcc1" presStyleIdx="2" presStyleCnt="6">
        <dgm:presLayoutVars>
          <dgm:chMax val="0"/>
          <dgm:chPref val="0"/>
        </dgm:presLayoutVars>
      </dgm:prSet>
      <dgm:spPr/>
      <dgm:t>
        <a:bodyPr/>
        <a:lstStyle/>
        <a:p>
          <a:endParaRPr lang="fr-BE"/>
        </a:p>
      </dgm:t>
    </dgm:pt>
    <dgm:pt modelId="{CCB8B45E-ACE4-43D9-9C94-F340AF40D30A}" type="pres">
      <dgm:prSet presAssocID="{C1F180AD-50EB-4C93-AF2A-FFFA9036AD6F}" presName="rootConnector" presStyleLbl="node3" presStyleIdx="0" presStyleCnt="0"/>
      <dgm:spPr/>
      <dgm:t>
        <a:bodyPr/>
        <a:lstStyle/>
        <a:p>
          <a:endParaRPr lang="fr-BE"/>
        </a:p>
      </dgm:t>
    </dgm:pt>
    <dgm:pt modelId="{2DF2B8B3-9D11-4E9B-A7C1-8030FD61D52F}" type="pres">
      <dgm:prSet presAssocID="{C1F180AD-50EB-4C93-AF2A-FFFA9036AD6F}" presName="hierChild4" presStyleCnt="0"/>
      <dgm:spPr/>
    </dgm:pt>
    <dgm:pt modelId="{621BF6AB-30C7-47FA-914E-F7E5248F0013}" type="pres">
      <dgm:prSet presAssocID="{C1F180AD-50EB-4C93-AF2A-FFFA9036AD6F}" presName="hierChild5" presStyleCnt="0"/>
      <dgm:spPr/>
    </dgm:pt>
    <dgm:pt modelId="{D71DD4CF-8835-4049-A626-36902BF728AB}" type="pres">
      <dgm:prSet presAssocID="{31E640D2-3C03-4C1B-9D81-9EA4F5BA2830}" presName="hierChild5" presStyleCnt="0"/>
      <dgm:spPr/>
    </dgm:pt>
    <dgm:pt modelId="{99FC3BEE-5D9E-44E1-B7DC-D46909B84D3D}" type="pres">
      <dgm:prSet presAssocID="{94090C04-9E93-46ED-830B-654B96E71497}" presName="Name37" presStyleLbl="parChTrans1D2" presStyleIdx="1" presStyleCnt="3"/>
      <dgm:spPr/>
      <dgm:t>
        <a:bodyPr/>
        <a:lstStyle/>
        <a:p>
          <a:endParaRPr lang="fr-BE"/>
        </a:p>
      </dgm:t>
    </dgm:pt>
    <dgm:pt modelId="{52D89A3C-BD9D-4F34-8D2C-032064A76A9B}" type="pres">
      <dgm:prSet presAssocID="{01B2514F-BA8D-478C-8CA1-E6204CD05DC2}" presName="hierRoot2" presStyleCnt="0">
        <dgm:presLayoutVars>
          <dgm:hierBranch val="init"/>
        </dgm:presLayoutVars>
      </dgm:prSet>
      <dgm:spPr/>
    </dgm:pt>
    <dgm:pt modelId="{A7D501C9-0F5D-4311-8BA8-BF30B642CA70}" type="pres">
      <dgm:prSet presAssocID="{01B2514F-BA8D-478C-8CA1-E6204CD05DC2}" presName="rootComposite" presStyleCnt="0"/>
      <dgm:spPr/>
    </dgm:pt>
    <dgm:pt modelId="{08DDA341-70E3-45BC-84E3-B5070198171E}" type="pres">
      <dgm:prSet presAssocID="{01B2514F-BA8D-478C-8CA1-E6204CD05DC2}" presName="rootText" presStyleLbl="node1" presStyleIdx="3" presStyleCnt="6">
        <dgm:presLayoutVars>
          <dgm:chMax/>
          <dgm:chPref val="3"/>
        </dgm:presLayoutVars>
      </dgm:prSet>
      <dgm:spPr/>
      <dgm:t>
        <a:bodyPr/>
        <a:lstStyle/>
        <a:p>
          <a:endParaRPr lang="fr-BE"/>
        </a:p>
      </dgm:t>
    </dgm:pt>
    <dgm:pt modelId="{EE28EDFD-1F34-4C6A-994D-A83B839C0731}" type="pres">
      <dgm:prSet presAssocID="{01B2514F-BA8D-478C-8CA1-E6204CD05DC2}" presName="titleText2" presStyleLbl="fgAcc1" presStyleIdx="3" presStyleCnt="6">
        <dgm:presLayoutVars>
          <dgm:chMax val="0"/>
          <dgm:chPref val="0"/>
        </dgm:presLayoutVars>
      </dgm:prSet>
      <dgm:spPr/>
      <dgm:t>
        <a:bodyPr/>
        <a:lstStyle/>
        <a:p>
          <a:endParaRPr lang="fr-BE"/>
        </a:p>
      </dgm:t>
    </dgm:pt>
    <dgm:pt modelId="{60B0CE05-A0E5-4DC1-AD96-F47E2124374A}" type="pres">
      <dgm:prSet presAssocID="{01B2514F-BA8D-478C-8CA1-E6204CD05DC2}" presName="rootConnector" presStyleLbl="node2" presStyleIdx="0" presStyleCnt="0"/>
      <dgm:spPr/>
      <dgm:t>
        <a:bodyPr/>
        <a:lstStyle/>
        <a:p>
          <a:endParaRPr lang="fr-BE"/>
        </a:p>
      </dgm:t>
    </dgm:pt>
    <dgm:pt modelId="{DC95E2DF-67E7-4154-897F-35C77B7001A2}" type="pres">
      <dgm:prSet presAssocID="{01B2514F-BA8D-478C-8CA1-E6204CD05DC2}" presName="hierChild4" presStyleCnt="0"/>
      <dgm:spPr/>
    </dgm:pt>
    <dgm:pt modelId="{99A39456-F7A3-4851-92A6-8BF6EE344A7A}" type="pres">
      <dgm:prSet presAssocID="{01B2514F-BA8D-478C-8CA1-E6204CD05DC2}" presName="hierChild5" presStyleCnt="0"/>
      <dgm:spPr/>
    </dgm:pt>
    <dgm:pt modelId="{19549884-8FD4-4169-955C-9DCBAECEF811}" type="pres">
      <dgm:prSet presAssocID="{C5EA6D79-9DB1-4DCE-87B7-03BC5A428D04}" presName="Name37" presStyleLbl="parChTrans1D2" presStyleIdx="2" presStyleCnt="3"/>
      <dgm:spPr/>
      <dgm:t>
        <a:bodyPr/>
        <a:lstStyle/>
        <a:p>
          <a:endParaRPr lang="fr-BE"/>
        </a:p>
      </dgm:t>
    </dgm:pt>
    <dgm:pt modelId="{9A7B636F-8E13-424B-92EE-39B2DD23EE81}" type="pres">
      <dgm:prSet presAssocID="{8796B7A1-77D9-4F2C-8AB5-BAC31455D49C}" presName="hierRoot2" presStyleCnt="0">
        <dgm:presLayoutVars>
          <dgm:hierBranch val="init"/>
        </dgm:presLayoutVars>
      </dgm:prSet>
      <dgm:spPr/>
    </dgm:pt>
    <dgm:pt modelId="{70E1C76C-4887-49CC-8ABB-64EC7904EF29}" type="pres">
      <dgm:prSet presAssocID="{8796B7A1-77D9-4F2C-8AB5-BAC31455D49C}" presName="rootComposite" presStyleCnt="0"/>
      <dgm:spPr/>
    </dgm:pt>
    <dgm:pt modelId="{B32A6BBF-B72F-4E9F-BA91-E4523ACB5C74}" type="pres">
      <dgm:prSet presAssocID="{8796B7A1-77D9-4F2C-8AB5-BAC31455D49C}" presName="rootText" presStyleLbl="node1" presStyleIdx="4" presStyleCnt="6">
        <dgm:presLayoutVars>
          <dgm:chMax/>
          <dgm:chPref val="3"/>
        </dgm:presLayoutVars>
      </dgm:prSet>
      <dgm:spPr/>
      <dgm:t>
        <a:bodyPr/>
        <a:lstStyle/>
        <a:p>
          <a:endParaRPr lang="fr-BE"/>
        </a:p>
      </dgm:t>
    </dgm:pt>
    <dgm:pt modelId="{875338CF-376B-44E8-8D8F-69244406272B}" type="pres">
      <dgm:prSet presAssocID="{8796B7A1-77D9-4F2C-8AB5-BAC31455D49C}" presName="titleText2" presStyleLbl="fgAcc1" presStyleIdx="4" presStyleCnt="6" custLinFactNeighborX="-366" custLinFactNeighborY="-5722">
        <dgm:presLayoutVars>
          <dgm:chMax val="0"/>
          <dgm:chPref val="0"/>
        </dgm:presLayoutVars>
      </dgm:prSet>
      <dgm:spPr/>
      <dgm:t>
        <a:bodyPr/>
        <a:lstStyle/>
        <a:p>
          <a:endParaRPr lang="fr-BE"/>
        </a:p>
      </dgm:t>
    </dgm:pt>
    <dgm:pt modelId="{4D4F92FC-D45F-4334-AEA2-2730AC3ADCCD}" type="pres">
      <dgm:prSet presAssocID="{8796B7A1-77D9-4F2C-8AB5-BAC31455D49C}" presName="rootConnector" presStyleLbl="node2" presStyleIdx="0" presStyleCnt="0"/>
      <dgm:spPr/>
      <dgm:t>
        <a:bodyPr/>
        <a:lstStyle/>
        <a:p>
          <a:endParaRPr lang="fr-BE"/>
        </a:p>
      </dgm:t>
    </dgm:pt>
    <dgm:pt modelId="{983C1575-6807-44C7-981B-4615B54D643F}" type="pres">
      <dgm:prSet presAssocID="{8796B7A1-77D9-4F2C-8AB5-BAC31455D49C}" presName="hierChild4" presStyleCnt="0"/>
      <dgm:spPr/>
    </dgm:pt>
    <dgm:pt modelId="{1EF83E23-1943-489E-AF63-47118DDDF512}" type="pres">
      <dgm:prSet presAssocID="{F5A49444-01F3-42BF-94DF-CEB6DE3B2B27}" presName="Name37" presStyleLbl="parChTrans1D3" presStyleIdx="2" presStyleCnt="3"/>
      <dgm:spPr/>
      <dgm:t>
        <a:bodyPr/>
        <a:lstStyle/>
        <a:p>
          <a:endParaRPr lang="fr-BE"/>
        </a:p>
      </dgm:t>
    </dgm:pt>
    <dgm:pt modelId="{F92AB060-5D61-4357-839F-4DBA4756E97A}" type="pres">
      <dgm:prSet presAssocID="{8F19DFB8-4CAB-44F4-A408-A1FEB6C5DCC9}" presName="hierRoot2" presStyleCnt="0">
        <dgm:presLayoutVars>
          <dgm:hierBranch val="init"/>
        </dgm:presLayoutVars>
      </dgm:prSet>
      <dgm:spPr/>
    </dgm:pt>
    <dgm:pt modelId="{97A9C6AE-3E11-4F4A-BCC9-CB404A3A22D5}" type="pres">
      <dgm:prSet presAssocID="{8F19DFB8-4CAB-44F4-A408-A1FEB6C5DCC9}" presName="rootComposite" presStyleCnt="0"/>
      <dgm:spPr/>
    </dgm:pt>
    <dgm:pt modelId="{2926D281-B08A-4AB5-8C32-3B9E6E012BB0}" type="pres">
      <dgm:prSet presAssocID="{8F19DFB8-4CAB-44F4-A408-A1FEB6C5DCC9}" presName="rootText" presStyleLbl="node1" presStyleIdx="5" presStyleCnt="6">
        <dgm:presLayoutVars>
          <dgm:chMax/>
          <dgm:chPref val="3"/>
        </dgm:presLayoutVars>
      </dgm:prSet>
      <dgm:spPr/>
      <dgm:t>
        <a:bodyPr/>
        <a:lstStyle/>
        <a:p>
          <a:endParaRPr lang="fr-BE"/>
        </a:p>
      </dgm:t>
    </dgm:pt>
    <dgm:pt modelId="{B1B099F4-E6C6-40BE-A131-CD57B57EF749}" type="pres">
      <dgm:prSet presAssocID="{8F19DFB8-4CAB-44F4-A408-A1FEB6C5DCC9}" presName="titleText2" presStyleLbl="fgAcc1" presStyleIdx="5" presStyleCnt="6">
        <dgm:presLayoutVars>
          <dgm:chMax val="0"/>
          <dgm:chPref val="0"/>
        </dgm:presLayoutVars>
      </dgm:prSet>
      <dgm:spPr/>
      <dgm:t>
        <a:bodyPr/>
        <a:lstStyle/>
        <a:p>
          <a:endParaRPr lang="fr-BE"/>
        </a:p>
      </dgm:t>
    </dgm:pt>
    <dgm:pt modelId="{8EA812D5-5DC8-450A-A3A7-C14693CB3C36}" type="pres">
      <dgm:prSet presAssocID="{8F19DFB8-4CAB-44F4-A408-A1FEB6C5DCC9}" presName="rootConnector" presStyleLbl="node3" presStyleIdx="0" presStyleCnt="0"/>
      <dgm:spPr/>
      <dgm:t>
        <a:bodyPr/>
        <a:lstStyle/>
        <a:p>
          <a:endParaRPr lang="fr-BE"/>
        </a:p>
      </dgm:t>
    </dgm:pt>
    <dgm:pt modelId="{5E4BDAC6-600D-4D44-AA7F-1FBD38CADFD8}" type="pres">
      <dgm:prSet presAssocID="{8F19DFB8-4CAB-44F4-A408-A1FEB6C5DCC9}" presName="hierChild4" presStyleCnt="0"/>
      <dgm:spPr/>
    </dgm:pt>
    <dgm:pt modelId="{B87B4F14-544C-4080-B9C1-5CE2C1E58720}" type="pres">
      <dgm:prSet presAssocID="{8F19DFB8-4CAB-44F4-A408-A1FEB6C5DCC9}" presName="hierChild5" presStyleCnt="0"/>
      <dgm:spPr/>
    </dgm:pt>
    <dgm:pt modelId="{089B7F0C-A13D-4C23-9248-EDF2A74E82A9}" type="pres">
      <dgm:prSet presAssocID="{8796B7A1-77D9-4F2C-8AB5-BAC31455D49C}" presName="hierChild5" presStyleCnt="0"/>
      <dgm:spPr/>
    </dgm:pt>
    <dgm:pt modelId="{D58E0E5A-AACD-4F17-9F18-1BEC60503B2A}" type="pres">
      <dgm:prSet presAssocID="{A3B50205-004E-40C7-B67C-E06F4FABF2B9}" presName="hierChild3" presStyleCnt="0"/>
      <dgm:spPr/>
    </dgm:pt>
  </dgm:ptLst>
  <dgm:cxnLst>
    <dgm:cxn modelId="{9AF5F6DA-BFF4-4438-BA9B-000A8E2279E9}" type="presOf" srcId="{C5EA6D79-9DB1-4DCE-87B7-03BC5A428D04}" destId="{19549884-8FD4-4169-955C-9DCBAECEF811}" srcOrd="0" destOrd="0" presId="urn:microsoft.com/office/officeart/2008/layout/NameandTitleOrganizationalChart"/>
    <dgm:cxn modelId="{2FEAEF58-074E-4BE0-8811-06BC0FC3AFCE}" type="presOf" srcId="{C1F180AD-50EB-4C93-AF2A-FFFA9036AD6F}" destId="{283425AE-5633-435B-88C3-673DC2FDD41C}" srcOrd="0" destOrd="0" presId="urn:microsoft.com/office/officeart/2008/layout/NameandTitleOrganizationalChart"/>
    <dgm:cxn modelId="{148B5231-3621-4460-BDA6-4281C7A4B0AE}" type="presOf" srcId="{A3B50205-004E-40C7-B67C-E06F4FABF2B9}" destId="{6EB7229E-F8D8-4A44-8948-31A2858FED31}" srcOrd="1" destOrd="0" presId="urn:microsoft.com/office/officeart/2008/layout/NameandTitleOrganizationalChart"/>
    <dgm:cxn modelId="{A5538334-EDC2-4292-9567-DD835B356378}" type="presOf" srcId="{C1F180AD-50EB-4C93-AF2A-FFFA9036AD6F}" destId="{CCB8B45E-ACE4-43D9-9C94-F340AF40D30A}" srcOrd="1" destOrd="0" presId="urn:microsoft.com/office/officeart/2008/layout/NameandTitleOrganizationalChart"/>
    <dgm:cxn modelId="{E3C03179-E736-4ADB-BC4A-D6CDC4FA2D3B}" type="presOf" srcId="{224CDCF8-2BA3-4D67-96BD-8366D812EBE1}" destId="{C6ED0038-B25A-4EA8-B05C-3B5930C06B29}" srcOrd="0" destOrd="0" presId="urn:microsoft.com/office/officeart/2008/layout/NameandTitleOrganizationalChart"/>
    <dgm:cxn modelId="{E1593125-43B9-4F1D-AC5F-178992650DB1}" type="presOf" srcId="{D55178BA-BBEB-4B5C-BE1A-97538DAEAB61}" destId="{875338CF-376B-44E8-8D8F-69244406272B}" srcOrd="0" destOrd="0" presId="urn:microsoft.com/office/officeart/2008/layout/NameandTitleOrganizationalChart"/>
    <dgm:cxn modelId="{3896AB47-A9FF-479E-B948-BA5BFDF12046}" srcId="{31E640D2-3C03-4C1B-9D81-9EA4F5BA2830}" destId="{C1F180AD-50EB-4C93-AF2A-FFFA9036AD6F}" srcOrd="1" destOrd="0" parTransId="{5406D85F-EAFA-46BF-A0BC-A564C75E9A1C}" sibTransId="{926FB1E5-D1FE-4EFC-8340-D124A80A1286}"/>
    <dgm:cxn modelId="{95A08DC1-22E0-44F5-905E-B771249C5676}" srcId="{5B37943B-1ECD-4750-AA7D-39AD69836DE5}" destId="{A3B50205-004E-40C7-B67C-E06F4FABF2B9}" srcOrd="0" destOrd="0" parTransId="{F6788E5E-A2E0-4A3B-91D0-3A0257BB8C55}" sibTransId="{A3811797-5351-4CC0-98D7-66F5F09E52F0}"/>
    <dgm:cxn modelId="{08CB71DF-1547-4165-8254-CED2F3318110}" srcId="{8796B7A1-77D9-4F2C-8AB5-BAC31455D49C}" destId="{8F19DFB8-4CAB-44F4-A408-A1FEB6C5DCC9}" srcOrd="0" destOrd="0" parTransId="{F5A49444-01F3-42BF-94DF-CEB6DE3B2B27}" sibTransId="{CA77CAB6-ECF7-4824-AADB-8F5340C92E47}"/>
    <dgm:cxn modelId="{749BF0FE-9136-4AE3-9438-6FDC6877B5A7}" srcId="{A3B50205-004E-40C7-B67C-E06F4FABF2B9}" destId="{31E640D2-3C03-4C1B-9D81-9EA4F5BA2830}" srcOrd="0" destOrd="0" parTransId="{9C1FF7F3-9D6E-4251-B131-BC27E1469471}" sibTransId="{A9B4367A-C920-4CC3-8E81-D25AAEFB78FD}"/>
    <dgm:cxn modelId="{BE44B686-AF0C-44C7-83BB-BA9C0BCF6472}" srcId="{A3B50205-004E-40C7-B67C-E06F4FABF2B9}" destId="{8796B7A1-77D9-4F2C-8AB5-BAC31455D49C}" srcOrd="2" destOrd="0" parTransId="{C5EA6D79-9DB1-4DCE-87B7-03BC5A428D04}" sibTransId="{D55178BA-BBEB-4B5C-BE1A-97538DAEAB61}"/>
    <dgm:cxn modelId="{8B00F72A-1221-4D3C-B198-FA582F33D297}" type="presOf" srcId="{9C1FF7F3-9D6E-4251-B131-BC27E1469471}" destId="{E501DE83-4944-4D33-A70B-82F6829E6EB7}" srcOrd="0" destOrd="0" presId="urn:microsoft.com/office/officeart/2008/layout/NameandTitleOrganizationalChart"/>
    <dgm:cxn modelId="{77DEFD9F-1D44-4AAC-879E-384120A1B2C4}" type="presOf" srcId="{224CDCF8-2BA3-4D67-96BD-8366D812EBE1}" destId="{524FA893-3000-44C0-A528-E443342948E4}" srcOrd="1" destOrd="0" presId="urn:microsoft.com/office/officeart/2008/layout/NameandTitleOrganizationalChart"/>
    <dgm:cxn modelId="{23843AD5-A9C6-4BEA-9C93-A1801462B7E5}" type="presOf" srcId="{31E640D2-3C03-4C1B-9D81-9EA4F5BA2830}" destId="{0BAA82CA-C5D3-4C7E-ACA4-48944FD332CE}" srcOrd="0" destOrd="0" presId="urn:microsoft.com/office/officeart/2008/layout/NameandTitleOrganizationalChart"/>
    <dgm:cxn modelId="{DE6386F1-D42E-44FC-8955-95C68D5A2B85}" type="presOf" srcId="{8F19DFB8-4CAB-44F4-A408-A1FEB6C5DCC9}" destId="{8EA812D5-5DC8-450A-A3A7-C14693CB3C36}" srcOrd="1" destOrd="0" presId="urn:microsoft.com/office/officeart/2008/layout/NameandTitleOrganizationalChart"/>
    <dgm:cxn modelId="{68A0E327-A39C-413F-9A95-DE6184EDCB6C}" type="presOf" srcId="{CA77CAB6-ECF7-4824-AADB-8F5340C92E47}" destId="{B1B099F4-E6C6-40BE-A131-CD57B57EF749}" srcOrd="0" destOrd="0" presId="urn:microsoft.com/office/officeart/2008/layout/NameandTitleOrganizationalChart"/>
    <dgm:cxn modelId="{6ABAADC4-0877-4949-AEF5-AED4FB21DB93}" type="presOf" srcId="{94090C04-9E93-46ED-830B-654B96E71497}" destId="{99FC3BEE-5D9E-44E1-B7DC-D46909B84D3D}" srcOrd="0" destOrd="0" presId="urn:microsoft.com/office/officeart/2008/layout/NameandTitleOrganizationalChart"/>
    <dgm:cxn modelId="{61F61D3E-4ABB-4FC7-8335-E415C7D0B7CD}" type="presOf" srcId="{926FB1E5-D1FE-4EFC-8340-D124A80A1286}" destId="{6AC489C8-84C1-463E-9AAE-10DFB6CE1D3B}" srcOrd="0" destOrd="0" presId="urn:microsoft.com/office/officeart/2008/layout/NameandTitleOrganizationalChart"/>
    <dgm:cxn modelId="{0AB81ACA-B625-4B49-AFBB-8BB24B8AD16F}" type="presOf" srcId="{8F19DFB8-4CAB-44F4-A408-A1FEB6C5DCC9}" destId="{2926D281-B08A-4AB5-8C32-3B9E6E012BB0}" srcOrd="0" destOrd="0" presId="urn:microsoft.com/office/officeart/2008/layout/NameandTitleOrganizationalChart"/>
    <dgm:cxn modelId="{277F2A25-0727-4797-84E1-B7B8195E0A2E}" type="presOf" srcId="{F5A49444-01F3-42BF-94DF-CEB6DE3B2B27}" destId="{1EF83E23-1943-489E-AF63-47118DDDF512}" srcOrd="0" destOrd="0" presId="urn:microsoft.com/office/officeart/2008/layout/NameandTitleOrganizationalChart"/>
    <dgm:cxn modelId="{8209ED03-6C66-4CBD-93BD-4F32CD76F418}" srcId="{A3B50205-004E-40C7-B67C-E06F4FABF2B9}" destId="{01B2514F-BA8D-478C-8CA1-E6204CD05DC2}" srcOrd="1" destOrd="0" parTransId="{94090C04-9E93-46ED-830B-654B96E71497}" sibTransId="{BEA8B9B2-7C6D-47BF-B39D-569A53407EB2}"/>
    <dgm:cxn modelId="{9439F1CD-1AC4-4A53-9ED9-0301EAE638B5}" type="presOf" srcId="{BEA8B9B2-7C6D-47BF-B39D-569A53407EB2}" destId="{EE28EDFD-1F34-4C6A-994D-A83B839C0731}" srcOrd="0" destOrd="0" presId="urn:microsoft.com/office/officeart/2008/layout/NameandTitleOrganizationalChart"/>
    <dgm:cxn modelId="{39FA79D4-5474-4312-AE9B-48EE0A33778E}" type="presOf" srcId="{5406D85F-EAFA-46BF-A0BC-A564C75E9A1C}" destId="{C162B988-C184-46D9-B1A4-120E297C2F65}" srcOrd="0" destOrd="0" presId="urn:microsoft.com/office/officeart/2008/layout/NameandTitleOrganizationalChart"/>
    <dgm:cxn modelId="{C7AC3D65-9F01-4E09-BC55-5AAE2C537353}" type="presOf" srcId="{A9B4367A-C920-4CC3-8E81-D25AAEFB78FD}" destId="{E4D7EE75-6680-4AE2-967D-B4738685303F}" srcOrd="0" destOrd="0" presId="urn:microsoft.com/office/officeart/2008/layout/NameandTitleOrganizationalChart"/>
    <dgm:cxn modelId="{580FB313-4BC9-409D-BE75-09A01AB0C6FC}" type="presOf" srcId="{8796B7A1-77D9-4F2C-8AB5-BAC31455D49C}" destId="{4D4F92FC-D45F-4334-AEA2-2730AC3ADCCD}" srcOrd="1" destOrd="0" presId="urn:microsoft.com/office/officeart/2008/layout/NameandTitleOrganizationalChart"/>
    <dgm:cxn modelId="{2F7D9F61-4740-4DCC-94AE-A616DD1F51C8}" type="presOf" srcId="{01B2514F-BA8D-478C-8CA1-E6204CD05DC2}" destId="{08DDA341-70E3-45BC-84E3-B5070198171E}" srcOrd="0" destOrd="0" presId="urn:microsoft.com/office/officeart/2008/layout/NameandTitleOrganizationalChart"/>
    <dgm:cxn modelId="{2C835AF9-BBDB-43AC-B108-D67A571F10E7}" type="presOf" srcId="{5B37943B-1ECD-4750-AA7D-39AD69836DE5}" destId="{7A15BCA1-F248-4719-8F38-EB66B9EFD59B}" srcOrd="0" destOrd="0" presId="urn:microsoft.com/office/officeart/2008/layout/NameandTitleOrganizationalChart"/>
    <dgm:cxn modelId="{02AF788B-B413-4692-848B-E3C99B9D2A3E}" type="presOf" srcId="{17FAC1FA-24C3-4A95-9C4F-86FE3C0FBE42}" destId="{C7E4FD8C-D074-4550-9C4D-E2608861545C}" srcOrd="0" destOrd="0" presId="urn:microsoft.com/office/officeart/2008/layout/NameandTitleOrganizationalChart"/>
    <dgm:cxn modelId="{B9FFA5A5-DE57-437A-9D2C-C915A041DC92}" type="presOf" srcId="{A3811797-5351-4CC0-98D7-66F5F09E52F0}" destId="{5942E4DA-723B-4A84-9201-633F1091A806}" srcOrd="0" destOrd="0" presId="urn:microsoft.com/office/officeart/2008/layout/NameandTitleOrganizationalChart"/>
    <dgm:cxn modelId="{1909A8EB-88C4-433F-8330-A2E3D3B74E90}" type="presOf" srcId="{01B2514F-BA8D-478C-8CA1-E6204CD05DC2}" destId="{60B0CE05-A0E5-4DC1-AD96-F47E2124374A}" srcOrd="1" destOrd="0" presId="urn:microsoft.com/office/officeart/2008/layout/NameandTitleOrganizationalChart"/>
    <dgm:cxn modelId="{A53D8568-1B89-4D05-8D98-2EE44E324FF0}" srcId="{31E640D2-3C03-4C1B-9D81-9EA4F5BA2830}" destId="{224CDCF8-2BA3-4D67-96BD-8366D812EBE1}" srcOrd="0" destOrd="0" parTransId="{17FAC1FA-24C3-4A95-9C4F-86FE3C0FBE42}" sibTransId="{38B1EB43-40E8-4740-B401-B24EA5C38DBF}"/>
    <dgm:cxn modelId="{EE7325DA-DD5D-4F9F-8AF7-E258D9706413}" type="presOf" srcId="{38B1EB43-40E8-4740-B401-B24EA5C38DBF}" destId="{288B5B59-3459-4EF8-9703-73B03FFFDAF8}" srcOrd="0" destOrd="0" presId="urn:microsoft.com/office/officeart/2008/layout/NameandTitleOrganizationalChart"/>
    <dgm:cxn modelId="{4D1628D4-3029-4F7B-8295-4320A5366A49}" type="presOf" srcId="{A3B50205-004E-40C7-B67C-E06F4FABF2B9}" destId="{A8EF03D9-44BD-4674-8C6E-050F004DEB9D}" srcOrd="0" destOrd="0" presId="urn:microsoft.com/office/officeart/2008/layout/NameandTitleOrganizationalChart"/>
    <dgm:cxn modelId="{FFA23849-2712-4B30-B98E-BE5FFBA5FF0D}" type="presOf" srcId="{8796B7A1-77D9-4F2C-8AB5-BAC31455D49C}" destId="{B32A6BBF-B72F-4E9F-BA91-E4523ACB5C74}" srcOrd="0" destOrd="0" presId="urn:microsoft.com/office/officeart/2008/layout/NameandTitleOrganizationalChart"/>
    <dgm:cxn modelId="{BC8B28DB-AF3E-429A-8E34-F0EF82D2205E}" type="presOf" srcId="{31E640D2-3C03-4C1B-9D81-9EA4F5BA2830}" destId="{61678485-FAC3-4AE7-96A4-C81A5E7E33DF}" srcOrd="1" destOrd="0" presId="urn:microsoft.com/office/officeart/2008/layout/NameandTitleOrganizationalChart"/>
    <dgm:cxn modelId="{ABED8308-011C-4605-A777-85F2ACCD85F2}" type="presParOf" srcId="{7A15BCA1-F248-4719-8F38-EB66B9EFD59B}" destId="{099C9BA8-8086-4A74-9D95-CF7034D1B262}" srcOrd="0" destOrd="0" presId="urn:microsoft.com/office/officeart/2008/layout/NameandTitleOrganizationalChart"/>
    <dgm:cxn modelId="{2C727D39-5DAC-41F1-97A0-F7C8ECE42FF8}" type="presParOf" srcId="{099C9BA8-8086-4A74-9D95-CF7034D1B262}" destId="{6061A0A0-998B-4764-83D5-5B2E862FC255}" srcOrd="0" destOrd="0" presId="urn:microsoft.com/office/officeart/2008/layout/NameandTitleOrganizationalChart"/>
    <dgm:cxn modelId="{BF0A11D4-806C-4CCA-B3AE-E0A9D96FC26C}" type="presParOf" srcId="{6061A0A0-998B-4764-83D5-5B2E862FC255}" destId="{A8EF03D9-44BD-4674-8C6E-050F004DEB9D}" srcOrd="0" destOrd="0" presId="urn:microsoft.com/office/officeart/2008/layout/NameandTitleOrganizationalChart"/>
    <dgm:cxn modelId="{25CC662C-DC66-4934-90C3-AD359BA513F4}" type="presParOf" srcId="{6061A0A0-998B-4764-83D5-5B2E862FC255}" destId="{5942E4DA-723B-4A84-9201-633F1091A806}" srcOrd="1" destOrd="0" presId="urn:microsoft.com/office/officeart/2008/layout/NameandTitleOrganizationalChart"/>
    <dgm:cxn modelId="{BE6F252C-72C0-48C4-8027-47940B1F7C8D}" type="presParOf" srcId="{6061A0A0-998B-4764-83D5-5B2E862FC255}" destId="{6EB7229E-F8D8-4A44-8948-31A2858FED31}" srcOrd="2" destOrd="0" presId="urn:microsoft.com/office/officeart/2008/layout/NameandTitleOrganizationalChart"/>
    <dgm:cxn modelId="{23A1EC5D-31B6-43FB-8D48-3A62F4118A26}" type="presParOf" srcId="{099C9BA8-8086-4A74-9D95-CF7034D1B262}" destId="{2182A716-6F32-449F-9131-0B18717F9560}" srcOrd="1" destOrd="0" presId="urn:microsoft.com/office/officeart/2008/layout/NameandTitleOrganizationalChart"/>
    <dgm:cxn modelId="{13A13E88-F760-4DCB-8B1D-D09BC905D7E0}" type="presParOf" srcId="{2182A716-6F32-449F-9131-0B18717F9560}" destId="{E501DE83-4944-4D33-A70B-82F6829E6EB7}" srcOrd="0" destOrd="0" presId="urn:microsoft.com/office/officeart/2008/layout/NameandTitleOrganizationalChart"/>
    <dgm:cxn modelId="{D06008DB-FCA0-4130-9048-9C121A62E829}" type="presParOf" srcId="{2182A716-6F32-449F-9131-0B18717F9560}" destId="{C44017A9-9391-4A8D-9C18-0A144DAF78D4}" srcOrd="1" destOrd="0" presId="urn:microsoft.com/office/officeart/2008/layout/NameandTitleOrganizationalChart"/>
    <dgm:cxn modelId="{E0740F8F-E8C7-48FF-A6C3-1E2CA3EACF1B}" type="presParOf" srcId="{C44017A9-9391-4A8D-9C18-0A144DAF78D4}" destId="{831862EB-A120-457B-A3E1-6E00420617FD}" srcOrd="0" destOrd="0" presId="urn:microsoft.com/office/officeart/2008/layout/NameandTitleOrganizationalChart"/>
    <dgm:cxn modelId="{B3487E63-0F80-4384-BF1C-D5BF1C17982A}" type="presParOf" srcId="{831862EB-A120-457B-A3E1-6E00420617FD}" destId="{0BAA82CA-C5D3-4C7E-ACA4-48944FD332CE}" srcOrd="0" destOrd="0" presId="urn:microsoft.com/office/officeart/2008/layout/NameandTitleOrganizationalChart"/>
    <dgm:cxn modelId="{2763CEE9-34DF-4AC4-9268-A99D0807E57B}" type="presParOf" srcId="{831862EB-A120-457B-A3E1-6E00420617FD}" destId="{E4D7EE75-6680-4AE2-967D-B4738685303F}" srcOrd="1" destOrd="0" presId="urn:microsoft.com/office/officeart/2008/layout/NameandTitleOrganizationalChart"/>
    <dgm:cxn modelId="{A432C666-3063-465B-943D-946515D52D7F}" type="presParOf" srcId="{831862EB-A120-457B-A3E1-6E00420617FD}" destId="{61678485-FAC3-4AE7-96A4-C81A5E7E33DF}" srcOrd="2" destOrd="0" presId="urn:microsoft.com/office/officeart/2008/layout/NameandTitleOrganizationalChart"/>
    <dgm:cxn modelId="{2C278E59-8DC8-4427-A1A2-F57FB6727A91}" type="presParOf" srcId="{C44017A9-9391-4A8D-9C18-0A144DAF78D4}" destId="{ADABCD6B-ADF6-4EF3-9170-EF62559642D9}" srcOrd="1" destOrd="0" presId="urn:microsoft.com/office/officeart/2008/layout/NameandTitleOrganizationalChart"/>
    <dgm:cxn modelId="{F5061B7D-DE3D-48DC-A18A-1EB02D737AE4}" type="presParOf" srcId="{ADABCD6B-ADF6-4EF3-9170-EF62559642D9}" destId="{C7E4FD8C-D074-4550-9C4D-E2608861545C}" srcOrd="0" destOrd="0" presId="urn:microsoft.com/office/officeart/2008/layout/NameandTitleOrganizationalChart"/>
    <dgm:cxn modelId="{1BEE2817-19F1-4803-A92A-83C18C2FF3F8}" type="presParOf" srcId="{ADABCD6B-ADF6-4EF3-9170-EF62559642D9}" destId="{AFC6A18E-2714-419E-8474-57CEA97EC71A}" srcOrd="1" destOrd="0" presId="urn:microsoft.com/office/officeart/2008/layout/NameandTitleOrganizationalChart"/>
    <dgm:cxn modelId="{B4B83FCE-A79F-4334-8BE0-BC4BAB28CEB4}" type="presParOf" srcId="{AFC6A18E-2714-419E-8474-57CEA97EC71A}" destId="{C89AE9D6-C9B1-4AA8-A0BA-E66509DBDE20}" srcOrd="0" destOrd="0" presId="urn:microsoft.com/office/officeart/2008/layout/NameandTitleOrganizationalChart"/>
    <dgm:cxn modelId="{DD7DC942-45B0-41D5-ACA5-91B6027C8ADE}" type="presParOf" srcId="{C89AE9D6-C9B1-4AA8-A0BA-E66509DBDE20}" destId="{C6ED0038-B25A-4EA8-B05C-3B5930C06B29}" srcOrd="0" destOrd="0" presId="urn:microsoft.com/office/officeart/2008/layout/NameandTitleOrganizationalChart"/>
    <dgm:cxn modelId="{77A86C54-49C2-4133-A200-04B9A53E2655}" type="presParOf" srcId="{C89AE9D6-C9B1-4AA8-A0BA-E66509DBDE20}" destId="{288B5B59-3459-4EF8-9703-73B03FFFDAF8}" srcOrd="1" destOrd="0" presId="urn:microsoft.com/office/officeart/2008/layout/NameandTitleOrganizationalChart"/>
    <dgm:cxn modelId="{BD3C840E-B124-4FB4-B975-F6EDB9079253}" type="presParOf" srcId="{C89AE9D6-C9B1-4AA8-A0BA-E66509DBDE20}" destId="{524FA893-3000-44C0-A528-E443342948E4}" srcOrd="2" destOrd="0" presId="urn:microsoft.com/office/officeart/2008/layout/NameandTitleOrganizationalChart"/>
    <dgm:cxn modelId="{F3DEA006-3373-4C1E-BE2B-F998A430EF39}" type="presParOf" srcId="{AFC6A18E-2714-419E-8474-57CEA97EC71A}" destId="{A5C8B88A-9131-4647-BD5B-CD93BE29C1C3}" srcOrd="1" destOrd="0" presId="urn:microsoft.com/office/officeart/2008/layout/NameandTitleOrganizationalChart"/>
    <dgm:cxn modelId="{EE0CE130-8242-4958-9C69-B96048A31F60}" type="presParOf" srcId="{AFC6A18E-2714-419E-8474-57CEA97EC71A}" destId="{66390163-9C8C-42E5-AC87-BACBEC11A5C8}" srcOrd="2" destOrd="0" presId="urn:microsoft.com/office/officeart/2008/layout/NameandTitleOrganizationalChart"/>
    <dgm:cxn modelId="{2514872C-A05E-4563-9375-85E51C645081}" type="presParOf" srcId="{ADABCD6B-ADF6-4EF3-9170-EF62559642D9}" destId="{C162B988-C184-46D9-B1A4-120E297C2F65}" srcOrd="2" destOrd="0" presId="urn:microsoft.com/office/officeart/2008/layout/NameandTitleOrganizationalChart"/>
    <dgm:cxn modelId="{6A8DFB74-B0C5-45DC-817E-4FE8177D91C3}" type="presParOf" srcId="{ADABCD6B-ADF6-4EF3-9170-EF62559642D9}" destId="{1B171EB9-4EDB-4EA0-950E-99B83E2AF79A}" srcOrd="3" destOrd="0" presId="urn:microsoft.com/office/officeart/2008/layout/NameandTitleOrganizationalChart"/>
    <dgm:cxn modelId="{59034D9E-9455-44C5-A324-307533737C04}" type="presParOf" srcId="{1B171EB9-4EDB-4EA0-950E-99B83E2AF79A}" destId="{D33826BE-DDA7-4BE6-9457-3D355A6E7655}" srcOrd="0" destOrd="0" presId="urn:microsoft.com/office/officeart/2008/layout/NameandTitleOrganizationalChart"/>
    <dgm:cxn modelId="{F65EFFA6-CDEE-4578-A32A-DE8335BFE7AB}" type="presParOf" srcId="{D33826BE-DDA7-4BE6-9457-3D355A6E7655}" destId="{283425AE-5633-435B-88C3-673DC2FDD41C}" srcOrd="0" destOrd="0" presId="urn:microsoft.com/office/officeart/2008/layout/NameandTitleOrganizationalChart"/>
    <dgm:cxn modelId="{A483CEA7-214A-42B1-9ABC-90C1DCFC58AF}" type="presParOf" srcId="{D33826BE-DDA7-4BE6-9457-3D355A6E7655}" destId="{6AC489C8-84C1-463E-9AAE-10DFB6CE1D3B}" srcOrd="1" destOrd="0" presId="urn:microsoft.com/office/officeart/2008/layout/NameandTitleOrganizationalChart"/>
    <dgm:cxn modelId="{125F6E03-27BC-4EBB-8DC4-6A5AB214CFA0}" type="presParOf" srcId="{D33826BE-DDA7-4BE6-9457-3D355A6E7655}" destId="{CCB8B45E-ACE4-43D9-9C94-F340AF40D30A}" srcOrd="2" destOrd="0" presId="urn:microsoft.com/office/officeart/2008/layout/NameandTitleOrganizationalChart"/>
    <dgm:cxn modelId="{7B333722-0B85-453C-9159-4F0EFC3CA5ED}" type="presParOf" srcId="{1B171EB9-4EDB-4EA0-950E-99B83E2AF79A}" destId="{2DF2B8B3-9D11-4E9B-A7C1-8030FD61D52F}" srcOrd="1" destOrd="0" presId="urn:microsoft.com/office/officeart/2008/layout/NameandTitleOrganizationalChart"/>
    <dgm:cxn modelId="{5A853335-728B-41B3-B9B3-10097E6CE58D}" type="presParOf" srcId="{1B171EB9-4EDB-4EA0-950E-99B83E2AF79A}" destId="{621BF6AB-30C7-47FA-914E-F7E5248F0013}" srcOrd="2" destOrd="0" presId="urn:microsoft.com/office/officeart/2008/layout/NameandTitleOrganizationalChart"/>
    <dgm:cxn modelId="{5837E24A-7924-4190-9915-9DC4E10C1233}" type="presParOf" srcId="{C44017A9-9391-4A8D-9C18-0A144DAF78D4}" destId="{D71DD4CF-8835-4049-A626-36902BF728AB}" srcOrd="2" destOrd="0" presId="urn:microsoft.com/office/officeart/2008/layout/NameandTitleOrganizationalChart"/>
    <dgm:cxn modelId="{F1CCBC48-D261-4D4B-8640-7238EACB6BFA}" type="presParOf" srcId="{2182A716-6F32-449F-9131-0B18717F9560}" destId="{99FC3BEE-5D9E-44E1-B7DC-D46909B84D3D}" srcOrd="2" destOrd="0" presId="urn:microsoft.com/office/officeart/2008/layout/NameandTitleOrganizationalChart"/>
    <dgm:cxn modelId="{8F67D921-E92B-4D8B-8B32-3902A026F957}" type="presParOf" srcId="{2182A716-6F32-449F-9131-0B18717F9560}" destId="{52D89A3C-BD9D-4F34-8D2C-032064A76A9B}" srcOrd="3" destOrd="0" presId="urn:microsoft.com/office/officeart/2008/layout/NameandTitleOrganizationalChart"/>
    <dgm:cxn modelId="{EB9B95AA-C967-43E2-9A3D-099E4D61A3D1}" type="presParOf" srcId="{52D89A3C-BD9D-4F34-8D2C-032064A76A9B}" destId="{A7D501C9-0F5D-4311-8BA8-BF30B642CA70}" srcOrd="0" destOrd="0" presId="urn:microsoft.com/office/officeart/2008/layout/NameandTitleOrganizationalChart"/>
    <dgm:cxn modelId="{A63ADEBB-E69A-4CAC-A768-06536C2BDC84}" type="presParOf" srcId="{A7D501C9-0F5D-4311-8BA8-BF30B642CA70}" destId="{08DDA341-70E3-45BC-84E3-B5070198171E}" srcOrd="0" destOrd="0" presId="urn:microsoft.com/office/officeart/2008/layout/NameandTitleOrganizationalChart"/>
    <dgm:cxn modelId="{C789E52A-7977-4B00-B8BC-8C698A4B1950}" type="presParOf" srcId="{A7D501C9-0F5D-4311-8BA8-BF30B642CA70}" destId="{EE28EDFD-1F34-4C6A-994D-A83B839C0731}" srcOrd="1" destOrd="0" presId="urn:microsoft.com/office/officeart/2008/layout/NameandTitleOrganizationalChart"/>
    <dgm:cxn modelId="{00C3AB26-704E-4C35-A5C6-704C6A44C22C}" type="presParOf" srcId="{A7D501C9-0F5D-4311-8BA8-BF30B642CA70}" destId="{60B0CE05-A0E5-4DC1-AD96-F47E2124374A}" srcOrd="2" destOrd="0" presId="urn:microsoft.com/office/officeart/2008/layout/NameandTitleOrganizationalChart"/>
    <dgm:cxn modelId="{E2C77911-802C-4392-9DA7-FD4053952E4E}" type="presParOf" srcId="{52D89A3C-BD9D-4F34-8D2C-032064A76A9B}" destId="{DC95E2DF-67E7-4154-897F-35C77B7001A2}" srcOrd="1" destOrd="0" presId="urn:microsoft.com/office/officeart/2008/layout/NameandTitleOrganizationalChart"/>
    <dgm:cxn modelId="{04C9022E-9A9F-4060-B551-FF05B6090ECD}" type="presParOf" srcId="{52D89A3C-BD9D-4F34-8D2C-032064A76A9B}" destId="{99A39456-F7A3-4851-92A6-8BF6EE344A7A}" srcOrd="2" destOrd="0" presId="urn:microsoft.com/office/officeart/2008/layout/NameandTitleOrganizationalChart"/>
    <dgm:cxn modelId="{64634CD7-2E37-4190-B57B-C363CC8B40B0}" type="presParOf" srcId="{2182A716-6F32-449F-9131-0B18717F9560}" destId="{19549884-8FD4-4169-955C-9DCBAECEF811}" srcOrd="4" destOrd="0" presId="urn:microsoft.com/office/officeart/2008/layout/NameandTitleOrganizationalChart"/>
    <dgm:cxn modelId="{EF42A754-50C5-4645-8F16-215B28CCE54D}" type="presParOf" srcId="{2182A716-6F32-449F-9131-0B18717F9560}" destId="{9A7B636F-8E13-424B-92EE-39B2DD23EE81}" srcOrd="5" destOrd="0" presId="urn:microsoft.com/office/officeart/2008/layout/NameandTitleOrganizationalChart"/>
    <dgm:cxn modelId="{3BA8C84E-7AD1-4CE8-AFD3-A43866FE3B89}" type="presParOf" srcId="{9A7B636F-8E13-424B-92EE-39B2DD23EE81}" destId="{70E1C76C-4887-49CC-8ABB-64EC7904EF29}" srcOrd="0" destOrd="0" presId="urn:microsoft.com/office/officeart/2008/layout/NameandTitleOrganizationalChart"/>
    <dgm:cxn modelId="{DD045448-4400-4619-931C-FF1AD313E7FF}" type="presParOf" srcId="{70E1C76C-4887-49CC-8ABB-64EC7904EF29}" destId="{B32A6BBF-B72F-4E9F-BA91-E4523ACB5C74}" srcOrd="0" destOrd="0" presId="urn:microsoft.com/office/officeart/2008/layout/NameandTitleOrganizationalChart"/>
    <dgm:cxn modelId="{7397CDE3-3888-46C3-9A2D-B2778259FA37}" type="presParOf" srcId="{70E1C76C-4887-49CC-8ABB-64EC7904EF29}" destId="{875338CF-376B-44E8-8D8F-69244406272B}" srcOrd="1" destOrd="0" presId="urn:microsoft.com/office/officeart/2008/layout/NameandTitleOrganizationalChart"/>
    <dgm:cxn modelId="{3F7CCCBF-D285-4631-AB80-D829DE34BF19}" type="presParOf" srcId="{70E1C76C-4887-49CC-8ABB-64EC7904EF29}" destId="{4D4F92FC-D45F-4334-AEA2-2730AC3ADCCD}" srcOrd="2" destOrd="0" presId="urn:microsoft.com/office/officeart/2008/layout/NameandTitleOrganizationalChart"/>
    <dgm:cxn modelId="{85F72840-474C-4B36-BE5B-A75571809E23}" type="presParOf" srcId="{9A7B636F-8E13-424B-92EE-39B2DD23EE81}" destId="{983C1575-6807-44C7-981B-4615B54D643F}" srcOrd="1" destOrd="0" presId="urn:microsoft.com/office/officeart/2008/layout/NameandTitleOrganizationalChart"/>
    <dgm:cxn modelId="{6598C98D-829C-4437-A9E3-071E76C1A062}" type="presParOf" srcId="{983C1575-6807-44C7-981B-4615B54D643F}" destId="{1EF83E23-1943-489E-AF63-47118DDDF512}" srcOrd="0" destOrd="0" presId="urn:microsoft.com/office/officeart/2008/layout/NameandTitleOrganizationalChart"/>
    <dgm:cxn modelId="{18B90D0B-5A34-4E81-9D3A-4B44BAA25B8F}" type="presParOf" srcId="{983C1575-6807-44C7-981B-4615B54D643F}" destId="{F92AB060-5D61-4357-839F-4DBA4756E97A}" srcOrd="1" destOrd="0" presId="urn:microsoft.com/office/officeart/2008/layout/NameandTitleOrganizationalChart"/>
    <dgm:cxn modelId="{E78AA49B-88A0-4E08-BE1B-020C332FC7B5}" type="presParOf" srcId="{F92AB060-5D61-4357-839F-4DBA4756E97A}" destId="{97A9C6AE-3E11-4F4A-BCC9-CB404A3A22D5}" srcOrd="0" destOrd="0" presId="urn:microsoft.com/office/officeart/2008/layout/NameandTitleOrganizationalChart"/>
    <dgm:cxn modelId="{0271BD75-59DE-48C8-8B0C-C0B2468DFBBA}" type="presParOf" srcId="{97A9C6AE-3E11-4F4A-BCC9-CB404A3A22D5}" destId="{2926D281-B08A-4AB5-8C32-3B9E6E012BB0}" srcOrd="0" destOrd="0" presId="urn:microsoft.com/office/officeart/2008/layout/NameandTitleOrganizationalChart"/>
    <dgm:cxn modelId="{2240F9FA-3E2C-467A-8F32-4638842FFC5B}" type="presParOf" srcId="{97A9C6AE-3E11-4F4A-BCC9-CB404A3A22D5}" destId="{B1B099F4-E6C6-40BE-A131-CD57B57EF749}" srcOrd="1" destOrd="0" presId="urn:microsoft.com/office/officeart/2008/layout/NameandTitleOrganizationalChart"/>
    <dgm:cxn modelId="{3DF04C81-7F8A-4672-AD14-DB03C0B82DAA}" type="presParOf" srcId="{97A9C6AE-3E11-4F4A-BCC9-CB404A3A22D5}" destId="{8EA812D5-5DC8-450A-A3A7-C14693CB3C36}" srcOrd="2" destOrd="0" presId="urn:microsoft.com/office/officeart/2008/layout/NameandTitleOrganizationalChart"/>
    <dgm:cxn modelId="{6599C094-CFEF-4E3B-A0AF-3D8DF80D07A8}" type="presParOf" srcId="{F92AB060-5D61-4357-839F-4DBA4756E97A}" destId="{5E4BDAC6-600D-4D44-AA7F-1FBD38CADFD8}" srcOrd="1" destOrd="0" presId="urn:microsoft.com/office/officeart/2008/layout/NameandTitleOrganizationalChart"/>
    <dgm:cxn modelId="{0B395220-3480-4A04-BE34-CB477D38FBBA}" type="presParOf" srcId="{F92AB060-5D61-4357-839F-4DBA4756E97A}" destId="{B87B4F14-544C-4080-B9C1-5CE2C1E58720}" srcOrd="2" destOrd="0" presId="urn:microsoft.com/office/officeart/2008/layout/NameandTitleOrganizationalChart"/>
    <dgm:cxn modelId="{D823417D-D071-457F-915B-F39D7BD7CB90}" type="presParOf" srcId="{9A7B636F-8E13-424B-92EE-39B2DD23EE81}" destId="{089B7F0C-A13D-4C23-9248-EDF2A74E82A9}" srcOrd="2" destOrd="0" presId="urn:microsoft.com/office/officeart/2008/layout/NameandTitleOrganizationalChart"/>
    <dgm:cxn modelId="{1CE05903-2BAD-4DBF-9CAC-EC296D4A221E}" type="presParOf" srcId="{099C9BA8-8086-4A74-9D95-CF7034D1B262}" destId="{D58E0E5A-AACD-4F17-9F18-1BEC60503B2A}" srcOrd="2" destOrd="0" presId="urn:microsoft.com/office/officeart/2008/layout/NameandTitleOrganizationalChart"/>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F83E23-1943-489E-AF63-47118DDDF512}">
      <dsp:nvSpPr>
        <dsp:cNvPr id="0" name=""/>
        <dsp:cNvSpPr/>
      </dsp:nvSpPr>
      <dsp:spPr>
        <a:xfrm>
          <a:off x="4191899" y="1690148"/>
          <a:ext cx="91440" cy="325193"/>
        </a:xfrm>
        <a:custGeom>
          <a:avLst/>
          <a:gdLst/>
          <a:ahLst/>
          <a:cxnLst/>
          <a:rect l="0" t="0" r="0" b="0"/>
          <a:pathLst>
            <a:path>
              <a:moveTo>
                <a:pt x="45720" y="0"/>
              </a:moveTo>
              <a:lnTo>
                <a:pt x="45720" y="325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549884-8FD4-4169-955C-9DCBAECEF811}">
      <dsp:nvSpPr>
        <dsp:cNvPr id="0" name=""/>
        <dsp:cNvSpPr/>
      </dsp:nvSpPr>
      <dsp:spPr>
        <a:xfrm>
          <a:off x="2779190" y="802120"/>
          <a:ext cx="1458428" cy="325193"/>
        </a:xfrm>
        <a:custGeom>
          <a:avLst/>
          <a:gdLst/>
          <a:ahLst/>
          <a:cxnLst/>
          <a:rect l="0" t="0" r="0" b="0"/>
          <a:pathLst>
            <a:path>
              <a:moveTo>
                <a:pt x="0" y="0"/>
              </a:moveTo>
              <a:lnTo>
                <a:pt x="0" y="193865"/>
              </a:lnTo>
              <a:lnTo>
                <a:pt x="1458428" y="193865"/>
              </a:lnTo>
              <a:lnTo>
                <a:pt x="1458428" y="3251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FC3BEE-5D9E-44E1-B7DC-D46909B84D3D}">
      <dsp:nvSpPr>
        <dsp:cNvPr id="0" name=""/>
        <dsp:cNvSpPr/>
      </dsp:nvSpPr>
      <dsp:spPr>
        <a:xfrm>
          <a:off x="2733470" y="802120"/>
          <a:ext cx="91440" cy="325193"/>
        </a:xfrm>
        <a:custGeom>
          <a:avLst/>
          <a:gdLst/>
          <a:ahLst/>
          <a:cxnLst/>
          <a:rect l="0" t="0" r="0" b="0"/>
          <a:pathLst>
            <a:path>
              <a:moveTo>
                <a:pt x="45720" y="0"/>
              </a:moveTo>
              <a:lnTo>
                <a:pt x="45720" y="3251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62B988-C184-46D9-B1A4-120E297C2F65}">
      <dsp:nvSpPr>
        <dsp:cNvPr id="0" name=""/>
        <dsp:cNvSpPr/>
      </dsp:nvSpPr>
      <dsp:spPr>
        <a:xfrm>
          <a:off x="1320762" y="1690148"/>
          <a:ext cx="729214" cy="325193"/>
        </a:xfrm>
        <a:custGeom>
          <a:avLst/>
          <a:gdLst/>
          <a:ahLst/>
          <a:cxnLst/>
          <a:rect l="0" t="0" r="0" b="0"/>
          <a:pathLst>
            <a:path>
              <a:moveTo>
                <a:pt x="0" y="0"/>
              </a:moveTo>
              <a:lnTo>
                <a:pt x="0" y="193865"/>
              </a:lnTo>
              <a:lnTo>
                <a:pt x="729214" y="193865"/>
              </a:lnTo>
              <a:lnTo>
                <a:pt x="729214" y="325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E4FD8C-D074-4550-9C4D-E2608861545C}">
      <dsp:nvSpPr>
        <dsp:cNvPr id="0" name=""/>
        <dsp:cNvSpPr/>
      </dsp:nvSpPr>
      <dsp:spPr>
        <a:xfrm>
          <a:off x="591548" y="1690148"/>
          <a:ext cx="729214" cy="325193"/>
        </a:xfrm>
        <a:custGeom>
          <a:avLst/>
          <a:gdLst/>
          <a:ahLst/>
          <a:cxnLst/>
          <a:rect l="0" t="0" r="0" b="0"/>
          <a:pathLst>
            <a:path>
              <a:moveTo>
                <a:pt x="729214" y="0"/>
              </a:moveTo>
              <a:lnTo>
                <a:pt x="729214" y="193865"/>
              </a:lnTo>
              <a:lnTo>
                <a:pt x="0" y="193865"/>
              </a:lnTo>
              <a:lnTo>
                <a:pt x="0" y="325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01DE83-4944-4D33-A70B-82F6829E6EB7}">
      <dsp:nvSpPr>
        <dsp:cNvPr id="0" name=""/>
        <dsp:cNvSpPr/>
      </dsp:nvSpPr>
      <dsp:spPr>
        <a:xfrm>
          <a:off x="1320762" y="802120"/>
          <a:ext cx="1458428" cy="325193"/>
        </a:xfrm>
        <a:custGeom>
          <a:avLst/>
          <a:gdLst/>
          <a:ahLst/>
          <a:cxnLst/>
          <a:rect l="0" t="0" r="0" b="0"/>
          <a:pathLst>
            <a:path>
              <a:moveTo>
                <a:pt x="1458428" y="0"/>
              </a:moveTo>
              <a:lnTo>
                <a:pt x="1458428" y="193865"/>
              </a:lnTo>
              <a:lnTo>
                <a:pt x="0" y="193865"/>
              </a:lnTo>
              <a:lnTo>
                <a:pt x="0" y="3251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EF03D9-44BD-4674-8C6E-050F004DEB9D}">
      <dsp:nvSpPr>
        <dsp:cNvPr id="0" name=""/>
        <dsp:cNvSpPr/>
      </dsp:nvSpPr>
      <dsp:spPr>
        <a:xfrm>
          <a:off x="2235657" y="239286"/>
          <a:ext cx="1087065" cy="562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9422" numCol="1" spcCol="1270" anchor="ctr" anchorCtr="0">
          <a:noAutofit/>
        </a:bodyPr>
        <a:lstStyle/>
        <a:p>
          <a:pPr lvl="0" algn="ctr" defTabSz="444500">
            <a:lnSpc>
              <a:spcPct val="90000"/>
            </a:lnSpc>
            <a:spcBef>
              <a:spcPct val="0"/>
            </a:spcBef>
            <a:spcAft>
              <a:spcPct val="35000"/>
            </a:spcAft>
          </a:pPr>
          <a:r>
            <a:rPr lang="fr-BE" sz="1000" kern="1200">
              <a:latin typeface="Verdana" panose="020B0604030504040204" pitchFamily="34" charset="0"/>
              <a:ea typeface="Verdana" panose="020B0604030504040204" pitchFamily="34" charset="0"/>
              <a:cs typeface="Verdana" panose="020B0604030504040204" pitchFamily="34" charset="0"/>
            </a:rPr>
            <a:t>Ultimate Parent Entity A</a:t>
          </a:r>
        </a:p>
      </dsp:txBody>
      <dsp:txXfrm>
        <a:off x="2235657" y="239286"/>
        <a:ext cx="1087065" cy="562834"/>
      </dsp:txXfrm>
    </dsp:sp>
    <dsp:sp modelId="{5942E4DA-723B-4A84-9201-633F1091A806}">
      <dsp:nvSpPr>
        <dsp:cNvPr id="0" name=""/>
        <dsp:cNvSpPr/>
      </dsp:nvSpPr>
      <dsp:spPr>
        <a:xfrm>
          <a:off x="2453071" y="677046"/>
          <a:ext cx="978359" cy="1876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fr-BE" sz="800" kern="1200">
              <a:latin typeface="Verdana" panose="020B0604030504040204" pitchFamily="34" charset="0"/>
              <a:ea typeface="Verdana" panose="020B0604030504040204" pitchFamily="34" charset="0"/>
              <a:cs typeface="Verdana" panose="020B0604030504040204" pitchFamily="34" charset="0"/>
            </a:rPr>
            <a:t>PRS = MPE (POE)</a:t>
          </a:r>
        </a:p>
      </dsp:txBody>
      <dsp:txXfrm>
        <a:off x="2453071" y="677046"/>
        <a:ext cx="978359" cy="187611"/>
      </dsp:txXfrm>
    </dsp:sp>
    <dsp:sp modelId="{0BAA82CA-C5D3-4C7E-ACA4-48944FD332CE}">
      <dsp:nvSpPr>
        <dsp:cNvPr id="0" name=""/>
        <dsp:cNvSpPr/>
      </dsp:nvSpPr>
      <dsp:spPr>
        <a:xfrm>
          <a:off x="777229" y="1127314"/>
          <a:ext cx="1087065" cy="562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9422" numCol="1" spcCol="1270" anchor="ctr" anchorCtr="0">
          <a:noAutofit/>
        </a:bodyPr>
        <a:lstStyle/>
        <a:p>
          <a:pPr lvl="0" algn="ctr" defTabSz="444500">
            <a:lnSpc>
              <a:spcPct val="90000"/>
            </a:lnSpc>
            <a:spcBef>
              <a:spcPct val="0"/>
            </a:spcBef>
            <a:spcAft>
              <a:spcPct val="35000"/>
            </a:spcAft>
          </a:pPr>
          <a:r>
            <a:rPr lang="fr-BE" sz="1000" kern="1200">
              <a:latin typeface="Verdana" panose="020B0604030504040204" pitchFamily="34" charset="0"/>
              <a:ea typeface="Verdana" panose="020B0604030504040204" pitchFamily="34" charset="0"/>
              <a:cs typeface="Verdana" panose="020B0604030504040204" pitchFamily="34" charset="0"/>
            </a:rPr>
            <a:t>Parent Entity B</a:t>
          </a:r>
        </a:p>
      </dsp:txBody>
      <dsp:txXfrm>
        <a:off x="777229" y="1127314"/>
        <a:ext cx="1087065" cy="562834"/>
      </dsp:txXfrm>
    </dsp:sp>
    <dsp:sp modelId="{E4D7EE75-6680-4AE2-967D-B4738685303F}">
      <dsp:nvSpPr>
        <dsp:cNvPr id="0" name=""/>
        <dsp:cNvSpPr/>
      </dsp:nvSpPr>
      <dsp:spPr>
        <a:xfrm>
          <a:off x="994642" y="1565074"/>
          <a:ext cx="978359" cy="1876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fr-BE" sz="800" kern="1200">
              <a:latin typeface="Verdana" panose="020B0604030504040204" pitchFamily="34" charset="0"/>
              <a:ea typeface="Verdana" panose="020B0604030504040204" pitchFamily="34" charset="0"/>
              <a:cs typeface="Verdana" panose="020B0604030504040204" pitchFamily="34" charset="0"/>
            </a:rPr>
            <a:t>PRS = MPE (POE)</a:t>
          </a:r>
        </a:p>
      </dsp:txBody>
      <dsp:txXfrm>
        <a:off x="994642" y="1565074"/>
        <a:ext cx="978359" cy="187611"/>
      </dsp:txXfrm>
    </dsp:sp>
    <dsp:sp modelId="{C6ED0038-B25A-4EA8-B05C-3B5930C06B29}">
      <dsp:nvSpPr>
        <dsp:cNvPr id="0" name=""/>
        <dsp:cNvSpPr/>
      </dsp:nvSpPr>
      <dsp:spPr>
        <a:xfrm>
          <a:off x="48015" y="2015341"/>
          <a:ext cx="1087065" cy="562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9422" numCol="1" spcCol="1270" anchor="ctr" anchorCtr="0">
          <a:noAutofit/>
        </a:bodyPr>
        <a:lstStyle/>
        <a:p>
          <a:pPr lvl="0" algn="ctr" defTabSz="444500">
            <a:lnSpc>
              <a:spcPct val="90000"/>
            </a:lnSpc>
            <a:spcBef>
              <a:spcPct val="0"/>
            </a:spcBef>
            <a:spcAft>
              <a:spcPct val="35000"/>
            </a:spcAft>
          </a:pPr>
          <a:r>
            <a:rPr lang="fr-BE" sz="1000" kern="1200">
              <a:latin typeface="Verdana" panose="020B0604030504040204" pitchFamily="34" charset="0"/>
              <a:ea typeface="Verdana" panose="020B0604030504040204" pitchFamily="34" charset="0"/>
              <a:cs typeface="Verdana" panose="020B0604030504040204" pitchFamily="34" charset="0"/>
            </a:rPr>
            <a:t>Subsidiary C</a:t>
          </a:r>
        </a:p>
      </dsp:txBody>
      <dsp:txXfrm>
        <a:off x="48015" y="2015341"/>
        <a:ext cx="1087065" cy="562834"/>
      </dsp:txXfrm>
    </dsp:sp>
    <dsp:sp modelId="{288B5B59-3459-4EF8-9703-73B03FFFDAF8}">
      <dsp:nvSpPr>
        <dsp:cNvPr id="0" name=""/>
        <dsp:cNvSpPr/>
      </dsp:nvSpPr>
      <dsp:spPr>
        <a:xfrm>
          <a:off x="265428" y="2453102"/>
          <a:ext cx="978359" cy="1876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fr-BE" sz="800" kern="1200">
              <a:latin typeface="Verdana" panose="020B0604030504040204" pitchFamily="34" charset="0"/>
              <a:ea typeface="Verdana" panose="020B0604030504040204" pitchFamily="34" charset="0"/>
              <a:cs typeface="Verdana" panose="020B0604030504040204" pitchFamily="34" charset="0"/>
            </a:rPr>
            <a:t>No RLE</a:t>
          </a:r>
        </a:p>
      </dsp:txBody>
      <dsp:txXfrm>
        <a:off x="265428" y="2453102"/>
        <a:ext cx="978359" cy="187611"/>
      </dsp:txXfrm>
    </dsp:sp>
    <dsp:sp modelId="{283425AE-5633-435B-88C3-673DC2FDD41C}">
      <dsp:nvSpPr>
        <dsp:cNvPr id="0" name=""/>
        <dsp:cNvSpPr/>
      </dsp:nvSpPr>
      <dsp:spPr>
        <a:xfrm>
          <a:off x="1506443" y="2015341"/>
          <a:ext cx="1087065" cy="562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9422" numCol="1" spcCol="1270" anchor="ctr" anchorCtr="0">
          <a:noAutofit/>
        </a:bodyPr>
        <a:lstStyle/>
        <a:p>
          <a:pPr lvl="0" algn="ctr" defTabSz="444500">
            <a:lnSpc>
              <a:spcPct val="90000"/>
            </a:lnSpc>
            <a:spcBef>
              <a:spcPct val="0"/>
            </a:spcBef>
            <a:spcAft>
              <a:spcPct val="35000"/>
            </a:spcAft>
          </a:pPr>
          <a:r>
            <a:rPr lang="fr-BE" sz="1000" kern="1200">
              <a:latin typeface="Verdana" panose="020B0604030504040204" pitchFamily="34" charset="0"/>
              <a:ea typeface="Verdana" panose="020B0604030504040204" pitchFamily="34" charset="0"/>
              <a:cs typeface="Verdana" panose="020B0604030504040204" pitchFamily="34" charset="0"/>
            </a:rPr>
            <a:t>Subsidiary D</a:t>
          </a:r>
        </a:p>
      </dsp:txBody>
      <dsp:txXfrm>
        <a:off x="1506443" y="2015341"/>
        <a:ext cx="1087065" cy="562834"/>
      </dsp:txXfrm>
    </dsp:sp>
    <dsp:sp modelId="{6AC489C8-84C1-463E-9AAE-10DFB6CE1D3B}">
      <dsp:nvSpPr>
        <dsp:cNvPr id="0" name=""/>
        <dsp:cNvSpPr/>
      </dsp:nvSpPr>
      <dsp:spPr>
        <a:xfrm>
          <a:off x="1723856" y="2453102"/>
          <a:ext cx="978359" cy="1876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fr-BE" sz="800" kern="1200">
              <a:latin typeface="Verdana" panose="020B0604030504040204" pitchFamily="34" charset="0"/>
              <a:ea typeface="Verdana" panose="020B0604030504040204" pitchFamily="34" charset="0"/>
              <a:cs typeface="Verdana" panose="020B0604030504040204" pitchFamily="34" charset="0"/>
            </a:rPr>
            <a:t>PRS = Insolvency</a:t>
          </a:r>
        </a:p>
      </dsp:txBody>
      <dsp:txXfrm>
        <a:off x="1723856" y="2453102"/>
        <a:ext cx="978359" cy="187611"/>
      </dsp:txXfrm>
    </dsp:sp>
    <dsp:sp modelId="{08DDA341-70E3-45BC-84E3-B5070198171E}">
      <dsp:nvSpPr>
        <dsp:cNvPr id="0" name=""/>
        <dsp:cNvSpPr/>
      </dsp:nvSpPr>
      <dsp:spPr>
        <a:xfrm>
          <a:off x="2235657" y="1127314"/>
          <a:ext cx="1087065" cy="562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9422" numCol="1" spcCol="1270" anchor="ctr" anchorCtr="0">
          <a:noAutofit/>
        </a:bodyPr>
        <a:lstStyle/>
        <a:p>
          <a:pPr lvl="0" algn="ctr" defTabSz="444500">
            <a:lnSpc>
              <a:spcPct val="90000"/>
            </a:lnSpc>
            <a:spcBef>
              <a:spcPct val="0"/>
            </a:spcBef>
            <a:spcAft>
              <a:spcPct val="35000"/>
            </a:spcAft>
          </a:pPr>
          <a:r>
            <a:rPr lang="fr-BE" sz="1000" kern="1200">
              <a:latin typeface="Verdana" panose="020B0604030504040204" pitchFamily="34" charset="0"/>
              <a:ea typeface="Verdana" panose="020B0604030504040204" pitchFamily="34" charset="0"/>
              <a:cs typeface="Verdana" panose="020B0604030504040204" pitchFamily="34" charset="0"/>
            </a:rPr>
            <a:t>Subsidiary E</a:t>
          </a:r>
        </a:p>
      </dsp:txBody>
      <dsp:txXfrm>
        <a:off x="2235657" y="1127314"/>
        <a:ext cx="1087065" cy="562834"/>
      </dsp:txXfrm>
    </dsp:sp>
    <dsp:sp modelId="{EE28EDFD-1F34-4C6A-994D-A83B839C0731}">
      <dsp:nvSpPr>
        <dsp:cNvPr id="0" name=""/>
        <dsp:cNvSpPr/>
      </dsp:nvSpPr>
      <dsp:spPr>
        <a:xfrm>
          <a:off x="2453071" y="1565074"/>
          <a:ext cx="978359" cy="1876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fr-BE" sz="800" kern="1200">
              <a:latin typeface="Verdana" panose="020B0604030504040204" pitchFamily="34" charset="0"/>
              <a:ea typeface="Verdana" panose="020B0604030504040204" pitchFamily="34" charset="0"/>
              <a:cs typeface="Verdana" panose="020B0604030504040204" pitchFamily="34" charset="0"/>
            </a:rPr>
            <a:t>PRS = MPE (POE)</a:t>
          </a:r>
        </a:p>
      </dsp:txBody>
      <dsp:txXfrm>
        <a:off x="2453071" y="1565074"/>
        <a:ext cx="978359" cy="187611"/>
      </dsp:txXfrm>
    </dsp:sp>
    <dsp:sp modelId="{B32A6BBF-B72F-4E9F-BA91-E4523ACB5C74}">
      <dsp:nvSpPr>
        <dsp:cNvPr id="0" name=""/>
        <dsp:cNvSpPr/>
      </dsp:nvSpPr>
      <dsp:spPr>
        <a:xfrm>
          <a:off x="3694086" y="1127314"/>
          <a:ext cx="1087065" cy="562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9422" numCol="1" spcCol="1270" anchor="ctr" anchorCtr="0">
          <a:noAutofit/>
        </a:bodyPr>
        <a:lstStyle/>
        <a:p>
          <a:pPr lvl="0" algn="ctr" defTabSz="444500">
            <a:lnSpc>
              <a:spcPct val="90000"/>
            </a:lnSpc>
            <a:spcBef>
              <a:spcPct val="0"/>
            </a:spcBef>
            <a:spcAft>
              <a:spcPct val="35000"/>
            </a:spcAft>
          </a:pPr>
          <a:r>
            <a:rPr lang="fr-BE" sz="1000" kern="1200">
              <a:latin typeface="Verdana" panose="020B0604030504040204" pitchFamily="34" charset="0"/>
              <a:ea typeface="Verdana" panose="020B0604030504040204" pitchFamily="34" charset="0"/>
              <a:cs typeface="Verdana" panose="020B0604030504040204" pitchFamily="34" charset="0"/>
            </a:rPr>
            <a:t>Parent Entity F</a:t>
          </a:r>
        </a:p>
      </dsp:txBody>
      <dsp:txXfrm>
        <a:off x="3694086" y="1127314"/>
        <a:ext cx="1087065" cy="562834"/>
      </dsp:txXfrm>
    </dsp:sp>
    <dsp:sp modelId="{875338CF-376B-44E8-8D8F-69244406272B}">
      <dsp:nvSpPr>
        <dsp:cNvPr id="0" name=""/>
        <dsp:cNvSpPr/>
      </dsp:nvSpPr>
      <dsp:spPr>
        <a:xfrm>
          <a:off x="3907918" y="1554339"/>
          <a:ext cx="978359" cy="1876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fr-BE" sz="800" kern="1200">
              <a:latin typeface="Verdana" panose="020B0604030504040204" pitchFamily="34" charset="0"/>
              <a:ea typeface="Verdana" panose="020B0604030504040204" pitchFamily="34" charset="0"/>
              <a:cs typeface="Verdana" panose="020B0604030504040204" pitchFamily="34" charset="0"/>
            </a:rPr>
            <a:t>PRS = MPE (POE)</a:t>
          </a:r>
        </a:p>
      </dsp:txBody>
      <dsp:txXfrm>
        <a:off x="3907918" y="1554339"/>
        <a:ext cx="978359" cy="187611"/>
      </dsp:txXfrm>
    </dsp:sp>
    <dsp:sp modelId="{2926D281-B08A-4AB5-8C32-3B9E6E012BB0}">
      <dsp:nvSpPr>
        <dsp:cNvPr id="0" name=""/>
        <dsp:cNvSpPr/>
      </dsp:nvSpPr>
      <dsp:spPr>
        <a:xfrm>
          <a:off x="3694086" y="2015341"/>
          <a:ext cx="1087065" cy="562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79422" numCol="1" spcCol="1270" anchor="ctr" anchorCtr="0">
          <a:noAutofit/>
        </a:bodyPr>
        <a:lstStyle/>
        <a:p>
          <a:pPr lvl="0" algn="ctr" defTabSz="444500">
            <a:lnSpc>
              <a:spcPct val="90000"/>
            </a:lnSpc>
            <a:spcBef>
              <a:spcPct val="0"/>
            </a:spcBef>
            <a:spcAft>
              <a:spcPct val="35000"/>
            </a:spcAft>
          </a:pPr>
          <a:r>
            <a:rPr lang="fr-BE" sz="1000" kern="1200">
              <a:latin typeface="Verdana" panose="020B0604030504040204" pitchFamily="34" charset="0"/>
              <a:ea typeface="Verdana" panose="020B0604030504040204" pitchFamily="34" charset="0"/>
              <a:cs typeface="Verdana" panose="020B0604030504040204" pitchFamily="34" charset="0"/>
            </a:rPr>
            <a:t>Subsidiary G</a:t>
          </a:r>
        </a:p>
      </dsp:txBody>
      <dsp:txXfrm>
        <a:off x="3694086" y="2015341"/>
        <a:ext cx="1087065" cy="562834"/>
      </dsp:txXfrm>
    </dsp:sp>
    <dsp:sp modelId="{B1B099F4-E6C6-40BE-A131-CD57B57EF749}">
      <dsp:nvSpPr>
        <dsp:cNvPr id="0" name=""/>
        <dsp:cNvSpPr/>
      </dsp:nvSpPr>
      <dsp:spPr>
        <a:xfrm>
          <a:off x="3911499" y="2453102"/>
          <a:ext cx="978359" cy="1876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fr-BE" sz="800" kern="1200">
              <a:latin typeface="Verdana" panose="020B0604030504040204" pitchFamily="34" charset="0"/>
              <a:ea typeface="Verdana" panose="020B0604030504040204" pitchFamily="34" charset="0"/>
              <a:cs typeface="Verdana" panose="020B0604030504040204" pitchFamily="34" charset="0"/>
            </a:rPr>
            <a:t>PRS = incl. with parent entity</a:t>
          </a:r>
        </a:p>
      </dsp:txBody>
      <dsp:txXfrm>
        <a:off x="3911499" y="2453102"/>
        <a:ext cx="978359" cy="18761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RBDataClassification xmlns="b21d866f-c143-400b-a3ea-0ee2043de8f8">SRB-YELLOW</SRBDataClassification>
    <f197afdb08d545b88364d84d5f12dbd8 xmlns="b21d866f-c143-400b-a3ea-0ee2043de8f8">
      <Terms xmlns="http://schemas.microsoft.com/office/infopath/2007/PartnerControls">
        <TermInfo xmlns="http://schemas.microsoft.com/office/infopath/2007/PartnerControls">
          <TermName>11.01.005.050.010 Resolution Projects - LDT 1</TermName>
          <TermId>39dd8d8f-bc69-4518-b38b-aa8718ae2236</TermId>
        </TermInfo>
      </Terms>
    </f197afdb08d545b88364d84d5f12dbd8>
    <TaxCatchAll xmlns="b21d866f-c143-400b-a3ea-0ee2043de8f8">
      <Value>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64F5F7DD3D943AEAD2053CB568A9A" ma:contentTypeVersion="6" ma:contentTypeDescription="Create a new document." ma:contentTypeScope="" ma:versionID="60cc8b65f4f3c76fee9089e8374ad526">
  <xsd:schema xmlns:xsd="http://www.w3.org/2001/XMLSchema" xmlns:xs="http://www.w3.org/2001/XMLSchema" xmlns:p="http://schemas.microsoft.com/office/2006/metadata/properties" xmlns:ns2="b21d866f-c143-400b-a3ea-0ee2043de8f8" targetNamespace="http://schemas.microsoft.com/office/2006/metadata/properties" ma:root="true" ma:fieldsID="4cdff8dcccdccb88c91fb55d7ad81bb3" ns2:_="">
    <xsd:import namespace="b21d866f-c143-400b-a3ea-0ee2043de8f8"/>
    <xsd:element name="properties">
      <xsd:complexType>
        <xsd:sequence>
          <xsd:element name="documentManagement">
            <xsd:complexType>
              <xsd:all>
                <xsd:element ref="ns2:f197afdb08d545b88364d84d5f12dbd8" minOccurs="0"/>
                <xsd:element ref="ns2:TaxCatchAll" minOccurs="0"/>
                <xsd:element ref="ns2:SRBDataClassif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866f-c143-400b-a3ea-0ee2043de8f8" elementFormDefault="qualified">
    <xsd:import namespace="http://schemas.microsoft.com/office/2006/documentManagement/types"/>
    <xsd:import namespace="http://schemas.microsoft.com/office/infopath/2007/PartnerControls"/>
    <xsd:element name="f197afdb08d545b88364d84d5f12dbd8" ma:index="9" ma:taxonomy="true" ma:internalName="f197afdb08d545b88364d84d5f12dbd8" ma:taxonomyFieldName="SRBFilePlan" ma:displayName="File Plan" ma:readOnly="false" ma:default="4;#11.01.005.050.010 Resolution Projects - LDT 1|39dd8d8f-bc69-4518-b38b-aa8718ae2236" ma:fieldId="{f197afdb-08d5-45b8-8364-d84d5f12dbd8}" ma:sspId="02fcca73-72a7-4dba-99f8-a05cf81f9b45" ma:termSetId="1acf73b5-acbc-49d4-b98d-de637d1baddc" ma:anchorId="e818c1ae-c8f4-4a73-adf6-8ea4a59bd62c" ma:open="false" ma:isKeyword="false">
      <xsd:complexType>
        <xsd:sequence>
          <xsd:element ref="pc:Terms" minOccurs="0" maxOccurs="1"/>
        </xsd:sequence>
      </xsd:complexType>
    </xsd:element>
    <xsd:element name="TaxCatchAll" ma:index="10" nillable="true" ma:displayName="Taxonomy Catch All Column" ma:description="" ma:hidden="true" ma:list="{4a5994f2-5d39-495c-b687-717d87e36ac5}" ma:internalName="TaxCatchAll" ma:showField="CatchAllData" ma:web="b21d866f-c143-400b-a3ea-0ee2043de8f8">
      <xsd:complexType>
        <xsd:complexContent>
          <xsd:extension base="dms:MultiChoiceLookup">
            <xsd:sequence>
              <xsd:element name="Value" type="dms:Lookup" maxOccurs="unbounded" minOccurs="0" nillable="true"/>
            </xsd:sequence>
          </xsd:extension>
        </xsd:complexContent>
      </xsd:complexType>
    </xsd:element>
    <xsd:element name="SRBDataClassification" ma:index="11" ma:displayName="Data Classification" ma:default="" ma:internalName="SRBDataClassification">
      <xsd:simpleType>
        <xsd:restriction base="dms:Choice">
          <xsd:enumeration value="SRB-BLUE"/>
          <xsd:enumeration value="SRB-GREEN"/>
          <xsd:enumeration value="SRB-ORANGE"/>
          <xsd:enumeration value="SRB-RED"/>
          <xsd:enumeration value="SRB-YELLOW"/>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C00B-590C-474B-9246-DD08E1430504}">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b21d866f-c143-400b-a3ea-0ee2043de8f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A0F10DE-F24A-476F-A648-DE19CBADA148}">
  <ds:schemaRefs>
    <ds:schemaRef ds:uri="http://schemas.microsoft.com/sharepoint/v3/contenttype/forms"/>
  </ds:schemaRefs>
</ds:datastoreItem>
</file>

<file path=customXml/itemProps3.xml><?xml version="1.0" encoding="utf-8"?>
<ds:datastoreItem xmlns:ds="http://schemas.openxmlformats.org/officeDocument/2006/customXml" ds:itemID="{43071A64-ED5E-4A46-B0A0-AB85EFC34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866f-c143-400b-a3ea-0ee2043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69AE4-532A-477B-A2B4-A8344F93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77</Pages>
  <Words>18420</Words>
  <Characters>104998</Characters>
  <Application>Microsoft Office Word</Application>
  <DocSecurity>0</DocSecurity>
  <Lines>874</Lines>
  <Paragraphs>246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2019 Final LDR Guidance v1.0</vt:lpstr>
      <vt:lpstr/>
    </vt:vector>
  </TitlesOfParts>
  <Company>SRB_IT</Company>
  <LinksUpToDate>false</LinksUpToDate>
  <CharactersWithSpaces>123172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Final LDR Guidance v1.0</dc:title>
  <dc:subject/>
  <dc:creator>SRB</dc:creator>
  <cp:keywords/>
  <dc:description/>
  <cp:lastModifiedBy>SRB</cp:lastModifiedBy>
  <cp:revision>28</cp:revision>
  <cp:lastPrinted>2019-03-18T10:43:00Z</cp:lastPrinted>
  <dcterms:created xsi:type="dcterms:W3CDTF">2019-07-11T06:33:00Z</dcterms:created>
  <dcterms:modified xsi:type="dcterms:W3CDTF">2019-07-11T14:43:00Z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0x010100F9264F5F7DD3D943AEAD2053CB568A9A</vt:lpwstr>
  </property>
  <property fmtid="{D5CDD505-2E9C-101B-9397-08002B2CF9AE}" pid="3" name="SRBFilePlan">
    <vt:lpwstr>4;#11.01.005.050.010 Resolution Projects - LDT 1|39dd8d8f-bc69-4518-b38b-aa8718ae2236</vt:lpwstr>
  </property>
</Properties>
</file>